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A81622" w:rsidRDefault="003268BA" w:rsidP="00A81622">
      <w:pPr>
        <w:rPr>
          <w:rFonts w:asciiTheme="majorHAnsi" w:hAnsiTheme="majorHAnsi" w:cstheme="majorHAnsi"/>
          <w:b/>
        </w:rPr>
      </w:pPr>
      <w:r w:rsidRPr="00A81622">
        <w:rPr>
          <w:rFonts w:asciiTheme="majorHAnsi" w:hAnsiTheme="majorHAnsi" w:cstheme="majorHAnsi"/>
          <w:b/>
        </w:rPr>
        <w:t xml:space="preserve">3GPP TSG-RAN WG1 </w:t>
      </w:r>
      <w:r w:rsidR="008D4A7C">
        <w:rPr>
          <w:rFonts w:asciiTheme="majorHAnsi" w:hAnsiTheme="majorHAnsi" w:cstheme="majorHAnsi"/>
          <w:b/>
        </w:rPr>
        <w:t>#8</w:t>
      </w:r>
      <w:r w:rsidR="001973A5">
        <w:rPr>
          <w:rFonts w:asciiTheme="majorHAnsi" w:hAnsiTheme="majorHAnsi" w:cstheme="majorHAnsi"/>
          <w:b/>
        </w:rPr>
        <w:t>9</w:t>
      </w:r>
      <w:r w:rsidRPr="00A81622">
        <w:rPr>
          <w:rFonts w:asciiTheme="majorHAnsi" w:hAnsiTheme="majorHAnsi" w:cstheme="majorHAnsi"/>
          <w:b/>
        </w:rPr>
        <w:tab/>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hAnsiTheme="majorHAnsi" w:cstheme="majorHAnsi"/>
          <w:b/>
        </w:rPr>
        <w:t xml:space="preserve">      </w:t>
      </w:r>
      <w:r w:rsidRPr="00A81622">
        <w:rPr>
          <w:rFonts w:asciiTheme="majorHAnsi" w:hAnsiTheme="majorHAnsi" w:cstheme="majorHAnsi"/>
          <w:b/>
        </w:rPr>
        <w:tab/>
        <w:t xml:space="preserve">                  </w:t>
      </w:r>
      <w:r w:rsidR="005F4866" w:rsidRPr="005F4866">
        <w:rPr>
          <w:rFonts w:asciiTheme="majorHAnsi" w:hAnsiTheme="majorHAnsi" w:cstheme="majorHAnsi"/>
          <w:b/>
        </w:rPr>
        <w:t>R1-1707804</w:t>
      </w:r>
    </w:p>
    <w:p w:rsidR="00D01092" w:rsidRPr="00A81622" w:rsidRDefault="00D01092" w:rsidP="00D01092">
      <w:pPr>
        <w:rPr>
          <w:rFonts w:asciiTheme="majorHAnsi" w:eastAsia="MS Mincho" w:hAnsiTheme="majorHAnsi" w:cstheme="majorHAnsi"/>
          <w:b/>
          <w:bCs/>
          <w:sz w:val="28"/>
        </w:rPr>
      </w:pPr>
      <w:r>
        <w:rPr>
          <w:rFonts w:asciiTheme="majorHAnsi" w:hAnsiTheme="majorHAnsi" w:cstheme="majorHAnsi"/>
          <w:b/>
        </w:rPr>
        <w:t>Hangzhou, China, 15-19</w:t>
      </w:r>
      <w:r w:rsidRPr="00F20934">
        <w:rPr>
          <w:rFonts w:asciiTheme="majorHAnsi" w:hAnsiTheme="majorHAnsi" w:cstheme="majorHAnsi"/>
          <w:b/>
          <w:vertAlign w:val="superscript"/>
        </w:rPr>
        <w:t>th</w:t>
      </w:r>
      <w:r>
        <w:rPr>
          <w:rFonts w:asciiTheme="majorHAnsi" w:hAnsiTheme="majorHAnsi" w:cstheme="majorHAnsi"/>
          <w:b/>
        </w:rPr>
        <w:t xml:space="preserve"> May </w:t>
      </w:r>
      <w:r w:rsidRPr="00A81622">
        <w:rPr>
          <w:rFonts w:asciiTheme="majorHAnsi" w:hAnsiTheme="majorHAnsi" w:cstheme="majorHAnsi"/>
          <w:b/>
        </w:rPr>
        <w:t>2017</w:t>
      </w:r>
    </w:p>
    <w:p w:rsidR="00DD4444" w:rsidRPr="00155C60" w:rsidRDefault="00DD4444" w:rsidP="00465C79">
      <w:pPr>
        <w:pStyle w:val="En-tte"/>
        <w:spacing w:line="276" w:lineRule="auto"/>
        <w:rPr>
          <w:rFonts w:asciiTheme="majorHAnsi" w:hAnsiTheme="majorHAnsi" w:cstheme="majorHAnsi"/>
          <w:noProof w:val="0"/>
        </w:rPr>
      </w:pPr>
    </w:p>
    <w:p w:rsidR="00DD4444" w:rsidRPr="00155C60"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00495BBB" w:rsidRPr="00155C60">
        <w:rPr>
          <w:rFonts w:asciiTheme="majorHAnsi" w:eastAsia="MS Gothic" w:hAnsiTheme="majorHAnsi" w:cstheme="majorHAnsi"/>
          <w:noProof w:val="0"/>
          <w:sz w:val="24"/>
          <w:lang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7366E1">
        <w:rPr>
          <w:rFonts w:asciiTheme="majorHAnsi" w:eastAsia="MS Gothic" w:hAnsiTheme="majorHAnsi" w:cstheme="majorHAnsi"/>
          <w:noProof w:val="0"/>
          <w:sz w:val="24"/>
          <w:lang w:eastAsia="ja-JP"/>
        </w:rPr>
        <w:t>Transmit diversity</w:t>
      </w:r>
      <w:r w:rsidR="003268BA">
        <w:rPr>
          <w:rFonts w:asciiTheme="majorHAnsi" w:eastAsia="MS Gothic" w:hAnsiTheme="majorHAnsi" w:cstheme="majorHAnsi"/>
          <w:noProof w:val="0"/>
          <w:sz w:val="24"/>
          <w:lang w:eastAsia="ja-JP"/>
        </w:rPr>
        <w:t xml:space="preserve"> for </w:t>
      </w:r>
      <w:r w:rsidR="001973A5">
        <w:rPr>
          <w:rFonts w:asciiTheme="majorHAnsi" w:eastAsia="MS Gothic" w:hAnsiTheme="majorHAnsi" w:cstheme="majorHAnsi"/>
          <w:noProof w:val="0"/>
          <w:sz w:val="24"/>
          <w:lang w:eastAsia="ja-JP"/>
        </w:rPr>
        <w:t xml:space="preserve">DFTsOFDM-based </w:t>
      </w:r>
      <w:r w:rsidR="007366E1">
        <w:rPr>
          <w:rFonts w:asciiTheme="majorHAnsi" w:eastAsia="MS Gothic" w:hAnsiTheme="majorHAnsi" w:cstheme="majorHAnsi"/>
          <w:noProof w:val="0"/>
          <w:sz w:val="24"/>
          <w:lang w:eastAsia="ja-JP"/>
        </w:rPr>
        <w:t>PUCCH in long duration</w:t>
      </w:r>
    </w:p>
    <w:p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C25C64">
        <w:rPr>
          <w:rFonts w:asciiTheme="majorHAnsi" w:eastAsia="MS Gothic" w:hAnsiTheme="majorHAnsi" w:cstheme="majorHAnsi"/>
          <w:noProof w:val="0"/>
          <w:sz w:val="24"/>
        </w:rPr>
        <w:t>7</w:t>
      </w:r>
      <w:r w:rsidR="00A30BCD">
        <w:rPr>
          <w:rFonts w:asciiTheme="majorHAnsi" w:eastAsia="MS Gothic" w:hAnsiTheme="majorHAnsi" w:cstheme="majorHAnsi"/>
          <w:noProof w:val="0"/>
          <w:sz w:val="24"/>
        </w:rPr>
        <w:t>.1.</w:t>
      </w:r>
      <w:r w:rsidR="007366E1">
        <w:rPr>
          <w:rFonts w:asciiTheme="majorHAnsi" w:eastAsia="MS Gothic" w:hAnsiTheme="majorHAnsi" w:cstheme="majorHAnsi"/>
          <w:noProof w:val="0"/>
          <w:sz w:val="24"/>
        </w:rPr>
        <w:t>3.2.2</w:t>
      </w:r>
    </w:p>
    <w:p w:rsidR="00DD4444" w:rsidRPr="00A81622" w:rsidRDefault="00DD4444" w:rsidP="00A81622">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r>
      <w:r w:rsidR="00B11ADD" w:rsidRPr="00A81622">
        <w:rPr>
          <w:rFonts w:asciiTheme="majorHAnsi" w:hAnsiTheme="majorHAnsi" w:cstheme="majorHAnsi"/>
          <w:b/>
        </w:rPr>
        <w:t>Discussion/Decision</w:t>
      </w:r>
    </w:p>
    <w:p w:rsidR="00357F61" w:rsidRDefault="00DD4444" w:rsidP="00A81622">
      <w:pPr>
        <w:pStyle w:val="Titre1"/>
      </w:pPr>
      <w:r w:rsidRPr="00055E47">
        <w:t>Introduction</w:t>
      </w:r>
    </w:p>
    <w:p w:rsidR="00A30BCD" w:rsidRDefault="007366E1" w:rsidP="00A30BCD">
      <w:r>
        <w:t>A</w:t>
      </w:r>
      <w:r w:rsidR="00A30BCD">
        <w:t>t the RAN1 NR AH</w:t>
      </w:r>
      <w:r w:rsidR="00860C60">
        <w:t>#1</w:t>
      </w:r>
      <w:r w:rsidR="00A30BCD">
        <w:t xml:space="preserve"> meeting </w:t>
      </w:r>
      <w:r w:rsidR="00F3534C">
        <w:t>the following was decided</w:t>
      </w:r>
      <w:r w:rsidR="00705328">
        <w:t xml:space="preserve"> </w:t>
      </w:r>
      <w:r w:rsidR="00705328">
        <w:fldChar w:fldCharType="begin"/>
      </w:r>
      <w:r w:rsidR="00705328">
        <w:instrText xml:space="preserve"> REF _Ref477424004 \r \h </w:instrText>
      </w:r>
      <w:r w:rsidR="00705328">
        <w:fldChar w:fldCharType="separate"/>
      </w:r>
      <w:r w:rsidR="00613794">
        <w:t>[1]</w:t>
      </w:r>
      <w:r w:rsidR="00705328">
        <w:fldChar w:fldCharType="end"/>
      </w:r>
      <w:r>
        <w:t xml:space="preserve"> concerning the waveform and transmission scheme for long duration PUCCH</w:t>
      </w:r>
      <w:r w:rsidR="00F3534C">
        <w:t>:</w:t>
      </w:r>
    </w:p>
    <w:p w:rsidR="007366E1" w:rsidRPr="007366E1" w:rsidRDefault="007366E1" w:rsidP="007366E1">
      <w:pPr>
        <w:numPr>
          <w:ilvl w:val="0"/>
          <w:numId w:val="31"/>
        </w:numPr>
        <w:spacing w:after="0"/>
        <w:jc w:val="left"/>
        <w:rPr>
          <w:rFonts w:eastAsia="MS Mincho"/>
          <w:i/>
        </w:rPr>
      </w:pPr>
      <w:r w:rsidRPr="007366E1">
        <w:rPr>
          <w:rFonts w:eastAsia="MS Mincho" w:hint="eastAsia"/>
          <w:i/>
        </w:rPr>
        <w:t>For PUCCH in long-duration, DFT-s-OFDM waveform is supported.</w:t>
      </w:r>
    </w:p>
    <w:p w:rsidR="007366E1" w:rsidRPr="007366E1" w:rsidRDefault="007366E1" w:rsidP="007366E1">
      <w:pPr>
        <w:numPr>
          <w:ilvl w:val="0"/>
          <w:numId w:val="31"/>
        </w:numPr>
        <w:spacing w:after="0"/>
        <w:jc w:val="left"/>
        <w:rPr>
          <w:rFonts w:eastAsia="MS Mincho"/>
          <w:i/>
        </w:rPr>
      </w:pPr>
      <w:r w:rsidRPr="007366E1">
        <w:rPr>
          <w:rFonts w:eastAsia="MS Mincho" w:hint="eastAsia"/>
          <w:i/>
        </w:rPr>
        <w:t>For PUCCH in long-duration, transmit antenna diversity is supported.</w:t>
      </w:r>
    </w:p>
    <w:p w:rsidR="007366E1" w:rsidRDefault="007366E1" w:rsidP="00A30BCD"/>
    <w:p w:rsidR="007366E1" w:rsidRDefault="007366E1" w:rsidP="00A30BCD">
      <w:r>
        <w:t xml:space="preserve">Moreover, </w:t>
      </w:r>
      <w:r w:rsidR="00860C60">
        <w:t>at the latest RAN1#88</w:t>
      </w:r>
      <w:r w:rsidR="00CF114D">
        <w:t>b</w:t>
      </w:r>
      <w:r w:rsidR="00860C60">
        <w:t xml:space="preserve"> </w:t>
      </w:r>
      <w:r w:rsidR="00705328">
        <w:fldChar w:fldCharType="begin"/>
      </w:r>
      <w:r w:rsidR="00705328">
        <w:instrText xml:space="preserve"> REF _Ref477424013 \r \h </w:instrText>
      </w:r>
      <w:r w:rsidR="00705328">
        <w:fldChar w:fldCharType="separate"/>
      </w:r>
      <w:r w:rsidR="00613794">
        <w:t>[2]</w:t>
      </w:r>
      <w:r w:rsidR="00705328">
        <w:fldChar w:fldCharType="end"/>
      </w:r>
      <w:r w:rsidR="00705328">
        <w:t xml:space="preserve"> </w:t>
      </w:r>
      <w:r>
        <w:t>it was decided that:</w:t>
      </w:r>
    </w:p>
    <w:p w:rsidR="00CF114D" w:rsidRPr="00CF114D" w:rsidRDefault="00CF114D" w:rsidP="00CF114D">
      <w:pPr>
        <w:numPr>
          <w:ilvl w:val="0"/>
          <w:numId w:val="34"/>
        </w:numPr>
        <w:spacing w:after="0"/>
        <w:jc w:val="left"/>
        <w:rPr>
          <w:rFonts w:eastAsia="MS Mincho"/>
          <w:i/>
          <w:iCs/>
          <w:szCs w:val="20"/>
        </w:rPr>
      </w:pPr>
      <w:r w:rsidRPr="00CF114D">
        <w:rPr>
          <w:rFonts w:eastAsia="MS Mincho"/>
          <w:i/>
          <w:iCs/>
          <w:szCs w:val="20"/>
        </w:rPr>
        <w:t xml:space="preserve">For long duration NR-PUCCH in a given slot, FFS the detailed NR PUCCH formats. Companies are encouraged to provide the corresponding details. </w:t>
      </w:r>
    </w:p>
    <w:p w:rsidR="00CF114D" w:rsidRPr="00CF114D" w:rsidRDefault="00CF114D" w:rsidP="00CF114D">
      <w:pPr>
        <w:numPr>
          <w:ilvl w:val="1"/>
          <w:numId w:val="34"/>
        </w:numPr>
        <w:spacing w:after="0"/>
        <w:jc w:val="left"/>
        <w:rPr>
          <w:rFonts w:eastAsia="MS Mincho"/>
          <w:i/>
          <w:iCs/>
          <w:szCs w:val="20"/>
        </w:rPr>
      </w:pPr>
      <w:r w:rsidRPr="00CF114D">
        <w:rPr>
          <w:rFonts w:eastAsia="MS Mincho"/>
          <w:i/>
          <w:iCs/>
          <w:szCs w:val="20"/>
        </w:rPr>
        <w:t>Some examples as a starting point:</w:t>
      </w:r>
    </w:p>
    <w:p w:rsidR="00CF114D" w:rsidRPr="00CF114D" w:rsidRDefault="00CF114D" w:rsidP="00CF114D">
      <w:pPr>
        <w:numPr>
          <w:ilvl w:val="2"/>
          <w:numId w:val="34"/>
        </w:numPr>
        <w:spacing w:after="0"/>
        <w:jc w:val="left"/>
        <w:rPr>
          <w:rFonts w:eastAsia="MS Mincho"/>
          <w:i/>
          <w:iCs/>
          <w:szCs w:val="20"/>
        </w:rPr>
      </w:pPr>
      <w:r w:rsidRPr="00CF114D">
        <w:rPr>
          <w:rFonts w:eastAsia="MS Mincho"/>
          <w:i/>
          <w:iCs/>
          <w:szCs w:val="20"/>
        </w:rPr>
        <w:t>For small UCI payload with 1 or 2 bit(s), LTE PUCCH 1a/1b especially in light of # of symbols available for NR-PUCCH</w:t>
      </w:r>
    </w:p>
    <w:p w:rsidR="00CF114D" w:rsidRPr="00CF114D" w:rsidRDefault="00CF114D" w:rsidP="00CF114D">
      <w:pPr>
        <w:numPr>
          <w:ilvl w:val="3"/>
          <w:numId w:val="34"/>
        </w:numPr>
        <w:spacing w:after="0"/>
        <w:jc w:val="left"/>
        <w:rPr>
          <w:rFonts w:eastAsia="MS Mincho"/>
          <w:i/>
          <w:iCs/>
          <w:szCs w:val="20"/>
        </w:rPr>
      </w:pPr>
      <w:r w:rsidRPr="00CF114D">
        <w:rPr>
          <w:rFonts w:eastAsia="MS Mincho"/>
          <w:i/>
          <w:iCs/>
          <w:szCs w:val="20"/>
        </w:rPr>
        <w:t>FFS: Time domain OCC is applied over allocated multiple symbols.</w:t>
      </w:r>
    </w:p>
    <w:p w:rsidR="00CF114D" w:rsidRPr="00CF114D" w:rsidRDefault="00CF114D" w:rsidP="00CF114D">
      <w:pPr>
        <w:numPr>
          <w:ilvl w:val="2"/>
          <w:numId w:val="34"/>
        </w:numPr>
        <w:spacing w:after="0"/>
        <w:jc w:val="left"/>
        <w:rPr>
          <w:rFonts w:eastAsia="MS Mincho"/>
          <w:i/>
          <w:iCs/>
          <w:szCs w:val="20"/>
        </w:rPr>
      </w:pPr>
      <w:r w:rsidRPr="00CF114D">
        <w:rPr>
          <w:rFonts w:eastAsia="MS Mincho"/>
          <w:i/>
          <w:iCs/>
          <w:szCs w:val="20"/>
        </w:rPr>
        <w:t>For large UCI payload with X bits, LTE PUCCH format 4, or PUSCH</w:t>
      </w:r>
    </w:p>
    <w:p w:rsidR="00CF114D" w:rsidRPr="00CF114D" w:rsidRDefault="00CF114D" w:rsidP="00CF114D">
      <w:pPr>
        <w:numPr>
          <w:ilvl w:val="3"/>
          <w:numId w:val="34"/>
        </w:numPr>
        <w:spacing w:after="0"/>
        <w:jc w:val="left"/>
        <w:rPr>
          <w:rFonts w:eastAsia="MS Mincho"/>
          <w:i/>
          <w:iCs/>
          <w:szCs w:val="20"/>
        </w:rPr>
      </w:pPr>
      <w:r w:rsidRPr="00CF114D">
        <w:rPr>
          <w:rFonts w:eastAsia="MS Mincho"/>
          <w:i/>
          <w:iCs/>
          <w:szCs w:val="20"/>
        </w:rPr>
        <w:t>FFS on applicability of (virtual) frequency domain OCC</w:t>
      </w:r>
    </w:p>
    <w:p w:rsidR="00CF114D" w:rsidRPr="00CF114D" w:rsidRDefault="00CF114D" w:rsidP="00CF114D">
      <w:pPr>
        <w:numPr>
          <w:ilvl w:val="2"/>
          <w:numId w:val="34"/>
        </w:numPr>
        <w:spacing w:after="0"/>
        <w:jc w:val="left"/>
        <w:rPr>
          <w:rFonts w:eastAsia="MS Mincho"/>
          <w:i/>
          <w:iCs/>
          <w:szCs w:val="20"/>
        </w:rPr>
      </w:pPr>
      <w:r w:rsidRPr="00CF114D">
        <w:rPr>
          <w:rFonts w:eastAsia="MS Mincho"/>
          <w:i/>
          <w:iCs/>
          <w:szCs w:val="20"/>
        </w:rPr>
        <w:t>FFS for the value of X</w:t>
      </w:r>
    </w:p>
    <w:p w:rsidR="00CF114D" w:rsidRPr="00CF114D" w:rsidRDefault="00CF114D" w:rsidP="00CF114D">
      <w:pPr>
        <w:numPr>
          <w:ilvl w:val="2"/>
          <w:numId w:val="34"/>
        </w:numPr>
        <w:spacing w:after="0"/>
        <w:jc w:val="left"/>
        <w:rPr>
          <w:rFonts w:eastAsia="MS Mincho"/>
          <w:i/>
          <w:iCs/>
          <w:szCs w:val="20"/>
        </w:rPr>
      </w:pPr>
      <w:r w:rsidRPr="00CF114D">
        <w:rPr>
          <w:rFonts w:eastAsia="MS Mincho"/>
          <w:i/>
          <w:iCs/>
          <w:szCs w:val="20"/>
        </w:rPr>
        <w:t>FFS for medium UCI payload with less than X bits</w:t>
      </w:r>
    </w:p>
    <w:p w:rsidR="00CF114D" w:rsidRPr="00CF114D" w:rsidRDefault="00CF114D" w:rsidP="00CF114D">
      <w:pPr>
        <w:numPr>
          <w:ilvl w:val="2"/>
          <w:numId w:val="34"/>
        </w:numPr>
        <w:spacing w:after="0"/>
        <w:jc w:val="left"/>
        <w:rPr>
          <w:rFonts w:eastAsia="MS Mincho"/>
          <w:i/>
          <w:iCs/>
          <w:szCs w:val="20"/>
        </w:rPr>
      </w:pPr>
      <w:r w:rsidRPr="00CF114D">
        <w:rPr>
          <w:rFonts w:eastAsia="MS Mincho"/>
          <w:i/>
          <w:iCs/>
          <w:szCs w:val="20"/>
        </w:rPr>
        <w:t>Scalability of NR-PUCCH for different number of symbols available for NR-PUCCH</w:t>
      </w:r>
    </w:p>
    <w:p w:rsidR="00CF114D" w:rsidRPr="00CF114D" w:rsidRDefault="00CF114D" w:rsidP="00CF114D">
      <w:pPr>
        <w:numPr>
          <w:ilvl w:val="0"/>
          <w:numId w:val="34"/>
        </w:numPr>
        <w:spacing w:after="0"/>
        <w:jc w:val="left"/>
        <w:rPr>
          <w:rFonts w:eastAsia="MS Mincho"/>
          <w:i/>
          <w:iCs/>
          <w:szCs w:val="20"/>
        </w:rPr>
      </w:pPr>
      <w:r w:rsidRPr="00CF114D">
        <w:rPr>
          <w:rFonts w:eastAsia="MS Mincho"/>
          <w:i/>
          <w:iCs/>
          <w:szCs w:val="20"/>
        </w:rPr>
        <w:t>The set of the number of symbols for long duration NR-PUCCH in a slot includes {4, 5, 6, 7, 8, 9, 10, 11, 12, 13, 14}</w:t>
      </w:r>
    </w:p>
    <w:p w:rsidR="00CF114D" w:rsidRDefault="00CF114D" w:rsidP="00CF114D">
      <w:pPr>
        <w:numPr>
          <w:ilvl w:val="1"/>
          <w:numId w:val="34"/>
        </w:numPr>
        <w:spacing w:after="0"/>
        <w:jc w:val="left"/>
        <w:rPr>
          <w:rFonts w:eastAsia="MS Mincho"/>
          <w:i/>
          <w:iCs/>
          <w:szCs w:val="20"/>
        </w:rPr>
      </w:pPr>
      <w:r w:rsidRPr="00CF114D">
        <w:rPr>
          <w:rFonts w:eastAsia="MS Mincho"/>
          <w:i/>
          <w:iCs/>
          <w:szCs w:val="20"/>
        </w:rPr>
        <w:t>FFS whether or not it depends on the slot type, # of symbols per slot, etc.</w:t>
      </w:r>
    </w:p>
    <w:p w:rsidR="00575DB8" w:rsidRPr="00575DB8" w:rsidRDefault="00575DB8" w:rsidP="00575DB8">
      <w:pPr>
        <w:spacing w:after="0"/>
        <w:jc w:val="left"/>
        <w:rPr>
          <w:rFonts w:eastAsia="MS Mincho"/>
          <w:iCs/>
          <w:szCs w:val="20"/>
        </w:rPr>
      </w:pPr>
    </w:p>
    <w:p w:rsidR="00F853C6" w:rsidRDefault="00575DB8" w:rsidP="00A30BCD">
      <w:pPr>
        <w:rPr>
          <w:rFonts w:eastAsia="MS Mincho"/>
          <w:iCs/>
          <w:szCs w:val="20"/>
        </w:rPr>
      </w:pPr>
      <w:r>
        <w:rPr>
          <w:rFonts w:eastAsia="MS Mincho"/>
          <w:iCs/>
          <w:szCs w:val="20"/>
        </w:rPr>
        <w:t>Concerning the transmit diversity scheme, it was also decided that:</w:t>
      </w:r>
    </w:p>
    <w:p w:rsidR="00CF114D" w:rsidRPr="00CF114D" w:rsidRDefault="00CF114D" w:rsidP="00CF114D">
      <w:pPr>
        <w:numPr>
          <w:ilvl w:val="0"/>
          <w:numId w:val="35"/>
        </w:numPr>
        <w:spacing w:after="0"/>
        <w:jc w:val="left"/>
        <w:rPr>
          <w:rFonts w:eastAsia="MS Mincho"/>
          <w:i/>
          <w:iCs/>
          <w:szCs w:val="20"/>
        </w:rPr>
      </w:pPr>
      <w:r w:rsidRPr="00CF114D">
        <w:rPr>
          <w:rFonts w:eastAsia="MS Mincho"/>
          <w:i/>
          <w:iCs/>
          <w:szCs w:val="20"/>
        </w:rPr>
        <w:t>For DFTsOFDM in long-PUCCH, the following schemes are candidates for transmit diversity:</w:t>
      </w:r>
    </w:p>
    <w:p w:rsidR="00CF114D" w:rsidRPr="00CF114D" w:rsidRDefault="00CF114D" w:rsidP="00CF114D">
      <w:pPr>
        <w:numPr>
          <w:ilvl w:val="1"/>
          <w:numId w:val="35"/>
        </w:numPr>
        <w:spacing w:after="0"/>
        <w:jc w:val="left"/>
        <w:rPr>
          <w:rFonts w:eastAsia="MS Mincho"/>
          <w:i/>
          <w:iCs/>
          <w:szCs w:val="20"/>
        </w:rPr>
      </w:pPr>
      <w:r w:rsidRPr="00CF114D">
        <w:rPr>
          <w:rFonts w:eastAsia="MS Mincho"/>
          <w:i/>
          <w:iCs/>
          <w:szCs w:val="20"/>
        </w:rPr>
        <w:t>Low PAPR Alamouti-based transmit diversity applied in frequency or time domain, transparent transmit diversity (e.g. short delay CDD), time domain beam/precoder cycling or SORTD</w:t>
      </w:r>
    </w:p>
    <w:p w:rsidR="00CF114D" w:rsidRPr="00CF114D" w:rsidRDefault="00CF114D" w:rsidP="00CF114D">
      <w:pPr>
        <w:numPr>
          <w:ilvl w:val="1"/>
          <w:numId w:val="35"/>
        </w:numPr>
        <w:spacing w:after="0"/>
        <w:jc w:val="left"/>
        <w:rPr>
          <w:rFonts w:eastAsia="MS Mincho"/>
          <w:i/>
          <w:iCs/>
          <w:szCs w:val="20"/>
        </w:rPr>
      </w:pPr>
      <w:r w:rsidRPr="00CF114D">
        <w:rPr>
          <w:rFonts w:eastAsia="MS Mincho"/>
          <w:i/>
          <w:iCs/>
          <w:szCs w:val="20"/>
        </w:rPr>
        <w:t xml:space="preserve">FFS: for which PUCCH format and/or payload size </w:t>
      </w:r>
    </w:p>
    <w:p w:rsidR="00CF114D" w:rsidRPr="00CF114D" w:rsidRDefault="00CF114D" w:rsidP="00CF114D">
      <w:pPr>
        <w:numPr>
          <w:ilvl w:val="1"/>
          <w:numId w:val="35"/>
        </w:numPr>
        <w:spacing w:after="0"/>
        <w:jc w:val="left"/>
        <w:rPr>
          <w:rFonts w:eastAsia="MS Mincho"/>
          <w:i/>
          <w:iCs/>
          <w:szCs w:val="20"/>
        </w:rPr>
      </w:pPr>
      <w:r w:rsidRPr="00CF114D">
        <w:rPr>
          <w:rFonts w:eastAsia="MS Mincho"/>
          <w:i/>
          <w:iCs/>
          <w:szCs w:val="20"/>
        </w:rPr>
        <w:t>Other schemes with low PAPR are not precluded.</w:t>
      </w:r>
    </w:p>
    <w:p w:rsidR="00CF114D" w:rsidRPr="00CF114D" w:rsidRDefault="00CF114D" w:rsidP="00CF114D">
      <w:pPr>
        <w:numPr>
          <w:ilvl w:val="0"/>
          <w:numId w:val="35"/>
        </w:numPr>
        <w:spacing w:after="0"/>
        <w:jc w:val="left"/>
        <w:rPr>
          <w:rFonts w:eastAsia="MS Mincho"/>
          <w:i/>
          <w:iCs/>
          <w:szCs w:val="20"/>
        </w:rPr>
      </w:pPr>
      <w:r w:rsidRPr="00CF114D">
        <w:rPr>
          <w:rFonts w:eastAsia="MS Mincho"/>
          <w:i/>
          <w:iCs/>
          <w:szCs w:val="20"/>
        </w:rPr>
        <w:t>Companies proposing a certain transmit diversity scheme are encouraged to jointly propose PUCCH structure and the transmit diversity scheme.</w:t>
      </w:r>
    </w:p>
    <w:p w:rsidR="00CF114D" w:rsidRDefault="00CF114D" w:rsidP="00A30BCD">
      <w:pPr>
        <w:rPr>
          <w:rFonts w:eastAsia="MS Mincho"/>
          <w:iCs/>
          <w:szCs w:val="20"/>
        </w:rPr>
      </w:pPr>
    </w:p>
    <w:p w:rsidR="00575DB8" w:rsidRPr="00575DB8" w:rsidRDefault="002B4B53" w:rsidP="00575DB8">
      <w:r>
        <w:t xml:space="preserve">In this contribution, we show how </w:t>
      </w:r>
      <w:r w:rsidR="007366E1">
        <w:t xml:space="preserve">Alamouti-based </w:t>
      </w:r>
      <w:r>
        <w:t>PAPR preserving transmit diversity can be achieved for DFTsOFDM</w:t>
      </w:r>
      <w:r w:rsidR="007366E1">
        <w:t xml:space="preserve"> without any restrictions for </w:t>
      </w:r>
      <w:r w:rsidR="00190654">
        <w:t>the number of symbols in the UL-</w:t>
      </w:r>
      <w:r w:rsidR="007366E1">
        <w:t>only/UL-centric slot</w:t>
      </w:r>
      <w:r>
        <w:t>.</w:t>
      </w:r>
    </w:p>
    <w:p w:rsidR="00575DB8" w:rsidRDefault="00575DB8" w:rsidP="00575DB8">
      <w:r>
        <w:br w:type="page"/>
      </w:r>
    </w:p>
    <w:p w:rsidR="00A81622" w:rsidRDefault="00A81622" w:rsidP="00A81622">
      <w:pPr>
        <w:pBdr>
          <w:bottom w:val="single" w:sz="12" w:space="1" w:color="auto"/>
        </w:pBdr>
      </w:pPr>
    </w:p>
    <w:p w:rsidR="00EA0674" w:rsidRDefault="002B4B53" w:rsidP="00A81622">
      <w:pPr>
        <w:pStyle w:val="Titre1"/>
      </w:pPr>
      <w:r>
        <w:t>Transmit diversity for DFTsOFDM</w:t>
      </w:r>
      <w:r w:rsidR="007366E1">
        <w:t xml:space="preserve"> long duration PUCCH</w:t>
      </w:r>
    </w:p>
    <w:p w:rsidR="006F4B22" w:rsidRDefault="006F4B22" w:rsidP="00A81622">
      <w:r>
        <w:t>PUCCH coverage is a bottleneck for system deployments</w:t>
      </w:r>
      <w:r w:rsidR="009E5DD7">
        <w:t>.</w:t>
      </w:r>
      <w:r w:rsidR="009E5DD7" w:rsidRPr="009E5DD7">
        <w:t xml:space="preserve"> </w:t>
      </w:r>
      <w:r w:rsidR="009E5DD7">
        <w:t>In NR</w:t>
      </w:r>
      <w:r w:rsidR="008B0C51">
        <w:t>,</w:t>
      </w:r>
      <w:r w:rsidR="009E5DD7">
        <w:t xml:space="preserve"> UL control will carry higher payloads than in LTE</w:t>
      </w:r>
      <w:r w:rsidR="008B0C51">
        <w:t>, but at least the same coverage is desirable to be achieved</w:t>
      </w:r>
      <w:r w:rsidR="009E5DD7">
        <w:t>.</w:t>
      </w:r>
      <w:r>
        <w:t xml:space="preserve"> </w:t>
      </w:r>
      <w:r w:rsidR="008B0C51">
        <w:t>DFTsOFDM and transmit diversity support were decided for long PUCCH transmission at the last meeting, since l</w:t>
      </w:r>
      <w:r>
        <w:t xml:space="preserve">ow PAPR waveform and robust transmission are crucial for </w:t>
      </w:r>
      <w:r w:rsidR="008B0C51">
        <w:t xml:space="preserve">long </w:t>
      </w:r>
      <w:r w:rsidR="009E5DD7">
        <w:t>PUCCH transmission.</w:t>
      </w:r>
    </w:p>
    <w:p w:rsidR="001973A5" w:rsidRDefault="001973A5" w:rsidP="00A81622">
      <w:r>
        <w:t>In this contribution, we treat of DFTsOFDM-based long PUCCH format. This is mainly targeted for large UCI payloads with DFTsOFDM waveform transmission, similar to LTE format 4.</w:t>
      </w:r>
    </w:p>
    <w:p w:rsidR="006F4B22" w:rsidRDefault="001973A5" w:rsidP="00A81622">
      <w:r>
        <w:t>In this case,</w:t>
      </w:r>
      <w:r w:rsidR="008B0C51">
        <w:t xml:space="preserve"> f</w:t>
      </w:r>
      <w:r w:rsidR="009E5DD7">
        <w:t xml:space="preserve">or DFTsOFDM long PUCCH, </w:t>
      </w:r>
      <w:r w:rsidR="008B0C51">
        <w:t>several design constraints need to be met. T</w:t>
      </w:r>
      <w:r w:rsidR="009E5DD7">
        <w:t>ransmit diversity should conserve the low PAPR characteristics. The length (in DFTsOFDM symbols) of the long PUCCH is variable</w:t>
      </w:r>
      <w:r>
        <w:t xml:space="preserve">, any value from 4 to </w:t>
      </w:r>
      <w:r w:rsidR="00B63BDD">
        <w:t xml:space="preserve">14 symbols </w:t>
      </w:r>
      <w:r>
        <w:t>being agreed to be supported</w:t>
      </w:r>
      <w:r w:rsidR="00B63BDD">
        <w:t xml:space="preserve">. Therefore, the transmit diversity scheme should remain contained within one DFTsOFDM symbol and not impose parity constraints on the slot length. Also, due to the higher </w:t>
      </w:r>
      <w:r w:rsidR="008555DE">
        <w:t xml:space="preserve">maximum </w:t>
      </w:r>
      <w:r w:rsidR="00B63BDD">
        <w:t xml:space="preserve">number of bits to be carried by the </w:t>
      </w:r>
      <w:r w:rsidR="008555DE">
        <w:t xml:space="preserve">NR </w:t>
      </w:r>
      <w:r w:rsidR="00B63BDD">
        <w:t xml:space="preserve">PUCCH format with respect to LTE, schemes requiring complex decoding </w:t>
      </w:r>
      <w:r w:rsidR="008555DE">
        <w:t xml:space="preserve">(e.g. ML) </w:t>
      </w:r>
      <w:r w:rsidR="00B63BDD">
        <w:t xml:space="preserve">should be avoided. </w:t>
      </w:r>
    </w:p>
    <w:p w:rsidR="004A36D8" w:rsidRDefault="00501E73" w:rsidP="00A81622">
      <w:r>
        <w:t>We will further investigate</w:t>
      </w:r>
      <w:r w:rsidR="00965FE1">
        <w:t xml:space="preserve"> how </w:t>
      </w:r>
      <w:r w:rsidR="007829B8">
        <w:t xml:space="preserve">several </w:t>
      </w:r>
      <w:r w:rsidR="00965FE1">
        <w:t>known transmit diversity techniques apply to DFTsOFDM</w:t>
      </w:r>
      <w:r w:rsidR="007829B8">
        <w:t xml:space="preserve"> for long PUCCH format</w:t>
      </w:r>
      <w:r w:rsidR="00965FE1">
        <w:t>.</w:t>
      </w:r>
    </w:p>
    <w:p w:rsidR="008555DE" w:rsidRDefault="008555DE" w:rsidP="00A81622"/>
    <w:p w:rsidR="008555DE" w:rsidRDefault="008555DE" w:rsidP="008555DE">
      <w:pPr>
        <w:pStyle w:val="Titre2"/>
      </w:pPr>
      <w:r>
        <w:t>Alamouti-based transmit diversity for long PUCCH</w:t>
      </w:r>
    </w:p>
    <w:p w:rsidR="008555DE" w:rsidRDefault="007829B8" w:rsidP="00B961B4">
      <w:r>
        <w:t>Alamouti-based schemes achieve</w:t>
      </w:r>
      <w:r w:rsidR="00B961B4">
        <w:t xml:space="preserve"> full diversity and </w:t>
      </w:r>
      <w:r w:rsidR="008555DE">
        <w:t xml:space="preserve">are known to </w:t>
      </w:r>
      <w:r>
        <w:t xml:space="preserve">yield </w:t>
      </w:r>
      <w:r w:rsidR="008555DE">
        <w:t>good results in combination with OFDM-based waveforms. STBC and SFBC schemes are classically implemented at subcarrier level in multicarrier systems. Nevertheless, directly applying the classical schemes has some drawbacks for long duration PUCCH with DFTsOFDM waveform</w:t>
      </w:r>
      <w:r w:rsidR="000B481B">
        <w:t>, and m</w:t>
      </w:r>
      <w:r w:rsidR="000B481B">
        <w:t>odified Alamouti-based schemes over</w:t>
      </w:r>
      <w:r w:rsidR="000B481B">
        <w:t>coming these shortcomings exist</w:t>
      </w:r>
      <w:r w:rsidR="008555DE">
        <w:t>:</w:t>
      </w:r>
    </w:p>
    <w:p w:rsidR="008555DE" w:rsidRDefault="008555DE" w:rsidP="008555DE">
      <w:pPr>
        <w:pStyle w:val="Paragraphedeliste"/>
        <w:numPr>
          <w:ilvl w:val="0"/>
          <w:numId w:val="32"/>
        </w:numPr>
        <w:ind w:leftChars="0"/>
      </w:pPr>
      <w:r>
        <w:t>Applying classical SFBC between adjacent subcarriers within a DFTsOFDM symbol breaks the low PAPR characteristics of DFTsOFDM.</w:t>
      </w:r>
    </w:p>
    <w:p w:rsidR="000C7B67" w:rsidRDefault="000C7B67" w:rsidP="000C7B67">
      <w:pPr>
        <w:pStyle w:val="Paragraphedeliste"/>
        <w:numPr>
          <w:ilvl w:val="1"/>
          <w:numId w:val="32"/>
        </w:numPr>
        <w:ind w:leftChars="0"/>
      </w:pPr>
      <w:r>
        <w:t xml:space="preserve">PAPR preserving SFBC </w:t>
      </w:r>
      <w:r>
        <w:fldChar w:fldCharType="begin"/>
      </w:r>
      <w:r>
        <w:instrText xml:space="preserve"> REF _Ref473758531 \r \h </w:instrText>
      </w:r>
      <w:r>
        <w:fldChar w:fldCharType="separate"/>
      </w:r>
      <w:r w:rsidR="00613794">
        <w:t>[4]</w:t>
      </w:r>
      <w:r>
        <w:fldChar w:fldCharType="end"/>
      </w:r>
      <w:r>
        <w:t xml:space="preserve"> is fit to be used with DFTsOFDM instead of classical SFBC</w:t>
      </w:r>
    </w:p>
    <w:p w:rsidR="000C7B67" w:rsidRDefault="000C7B67" w:rsidP="000C7B67">
      <w:pPr>
        <w:pStyle w:val="Paragraphedeliste"/>
        <w:numPr>
          <w:ilvl w:val="0"/>
          <w:numId w:val="32"/>
        </w:numPr>
        <w:ind w:leftChars="0"/>
      </w:pPr>
      <w:r>
        <w:t>Applying classical STBC between successive DFTsOFDM symbols requires having an even number of symbols per slot, which is not the case in practice as we have shown in the previous subsection</w:t>
      </w:r>
    </w:p>
    <w:p w:rsidR="000C7B67" w:rsidRDefault="000C7B67" w:rsidP="000C7B67">
      <w:pPr>
        <w:pStyle w:val="Paragraphedeliste"/>
        <w:numPr>
          <w:ilvl w:val="1"/>
          <w:numId w:val="32"/>
        </w:numPr>
        <w:ind w:leftChars="0"/>
      </w:pPr>
      <w:r>
        <w:t xml:space="preserve">Pre-DFT STBC </w:t>
      </w:r>
      <w:r>
        <w:fldChar w:fldCharType="begin"/>
      </w:r>
      <w:r>
        <w:instrText xml:space="preserve"> REF _Ref477358745 \r \h </w:instrText>
      </w:r>
      <w:r>
        <w:fldChar w:fldCharType="separate"/>
      </w:r>
      <w:r w:rsidR="00613794">
        <w:t>[6]</w:t>
      </w:r>
      <w:r>
        <w:fldChar w:fldCharType="end"/>
      </w:r>
      <w:r>
        <w:t xml:space="preserve"> is fit to be used with DFTsOFDM instead of classical STBC</w:t>
      </w:r>
    </w:p>
    <w:p w:rsidR="00ED0484" w:rsidRDefault="00ED0484" w:rsidP="00B961B4">
      <w:r>
        <w:t>STBC can be applied in two manners: pre-DFT or post-DFT. For post-DFT STBC schemes, doubling the orphan symbol (for example by using a double subcarrier spacing onto this symbol) solves the restriction of having an even number of symbols in the slot. Nevertheless, this results in either inter-numerology interference affecting the users scheduled in adjacent frequency bands, or in scheduling constraints imposing the same numerology settings to all users scheduled in adjacent frequency bands.</w:t>
      </w:r>
    </w:p>
    <w:p w:rsidR="00295E44" w:rsidRDefault="00ED0484" w:rsidP="00B961B4">
      <w:r>
        <w:t xml:space="preserve">Pre-DFT STBC can operate on either successive or non-successive pre-DFT modulation symbols. </w:t>
      </w:r>
      <w:r w:rsidR="008555DE">
        <w:t xml:space="preserve">Modified STBC schemes applying STBC precoding before DFT between successive modulation </w:t>
      </w:r>
      <w:r w:rsidR="001B2C08">
        <w:t>(</w:t>
      </w:r>
      <w:r w:rsidR="008555DE">
        <w:t>e.g. QPSK) symbols were already investigated</w:t>
      </w:r>
      <w:r w:rsidR="00AD08EA">
        <w:t xml:space="preserve"> </w:t>
      </w:r>
      <w:r w:rsidR="00AD08EA">
        <w:fldChar w:fldCharType="begin"/>
      </w:r>
      <w:r w:rsidR="00AD08EA">
        <w:instrText xml:space="preserve"> REF _Ref473758040 \r \h </w:instrText>
      </w:r>
      <w:r w:rsidR="00AD08EA">
        <w:fldChar w:fldCharType="separate"/>
      </w:r>
      <w:r w:rsidR="00613794">
        <w:t>[3]</w:t>
      </w:r>
      <w:r w:rsidR="00AD08EA">
        <w:fldChar w:fldCharType="end"/>
      </w:r>
      <w:r w:rsidR="008555DE">
        <w:t>. Since precoding is not applied at subcarrier level, low-complexity frequency-domain decoding (e.g. MMSE involving order-2 matrix inversions at the receiver side) is not possible</w:t>
      </w:r>
      <w:r w:rsidR="00AD08EA">
        <w:t xml:space="preserve">. </w:t>
      </w:r>
      <w:r w:rsidR="00954FA7">
        <w:t>Moreover, for pre-DFT Alamouti precoding, s</w:t>
      </w:r>
      <w:r w:rsidR="00954FA7" w:rsidRPr="00954FA7">
        <w:t>ome performance degradation may appear due to channel selectivity: for each transmit antenna, there may be a different interference level for the first symbol and the second symbol of a pair.</w:t>
      </w:r>
      <w:r w:rsidR="006E469E" w:rsidRPr="006E469E">
        <w:t xml:space="preserve"> </w:t>
      </w:r>
    </w:p>
    <w:p w:rsidR="00ED0484" w:rsidRDefault="00ED0484" w:rsidP="00B961B4">
      <w:r>
        <w:t>Pre-DFT STBC can operate between a first and a second pre-DFT symbol block half</w:t>
      </w:r>
      <w:r w:rsidR="007C2F47">
        <w:t xml:space="preserve"> </w:t>
      </w:r>
      <w:r w:rsidR="007C2F47">
        <w:fldChar w:fldCharType="begin"/>
      </w:r>
      <w:r w:rsidR="007C2F47">
        <w:instrText xml:space="preserve"> REF _Ref477358745 \r \h </w:instrText>
      </w:r>
      <w:r w:rsidR="007C2F47">
        <w:fldChar w:fldCharType="separate"/>
      </w:r>
      <w:r w:rsidR="00613794">
        <w:t>[6]</w:t>
      </w:r>
      <w:r w:rsidR="007C2F47">
        <w:fldChar w:fldCharType="end"/>
      </w:r>
      <w:r>
        <w:t xml:space="preserve">. </w:t>
      </w:r>
      <w:r w:rsidR="007C2F47">
        <w:t xml:space="preserve">This allows frequency domain decoding with a higher decoding complexity wrt SFBC or classical STBC. This </w:t>
      </w:r>
      <w:r w:rsidR="007C2F47">
        <w:lastRenderedPageBreak/>
        <w:t>scheme can achieve the same performance as STBC/SFBC if a cyclic prefix/postfix is inserted before each symbol block half to limit the mutual interference (multipath, intercarrier) between the two halves.</w:t>
      </w:r>
      <w:r w:rsidR="001441CF">
        <w:t xml:space="preserve"> Also, some extra complexity is necessary at both transmit and receive sides.</w:t>
      </w:r>
    </w:p>
    <w:p w:rsidR="00B961B4" w:rsidRDefault="00AD08EA" w:rsidP="00B961B4">
      <w:r>
        <w:t xml:space="preserve">Modified SFBC preserving the low PAPR </w:t>
      </w:r>
      <w:r>
        <w:fldChar w:fldCharType="begin"/>
      </w:r>
      <w:r>
        <w:instrText xml:space="preserve"> REF _Ref473758531 \r \h </w:instrText>
      </w:r>
      <w:r>
        <w:fldChar w:fldCharType="separate"/>
      </w:r>
      <w:r w:rsidR="00613794">
        <w:t>[4]</w:t>
      </w:r>
      <w:r>
        <w:fldChar w:fldCharType="end"/>
      </w:r>
      <w:r w:rsidR="006E469E">
        <w:t xml:space="preserve"> </w:t>
      </w:r>
      <w:r w:rsidR="000C7B67">
        <w:t xml:space="preserve">called SC-SFBC </w:t>
      </w:r>
      <w:r>
        <w:t xml:space="preserve">will be further detailed in the following. More detailed analysis can be found in </w:t>
      </w:r>
      <w:r>
        <w:fldChar w:fldCharType="begin"/>
      </w:r>
      <w:r>
        <w:instrText xml:space="preserve"> REF _Ref473758543 \r \h </w:instrText>
      </w:r>
      <w:r>
        <w:fldChar w:fldCharType="separate"/>
      </w:r>
      <w:r w:rsidR="00613794">
        <w:t>[5]</w:t>
      </w:r>
      <w:r>
        <w:fldChar w:fldCharType="end"/>
      </w:r>
      <w:r>
        <w:t>.</w:t>
      </w:r>
    </w:p>
    <w:p w:rsidR="00965FE1" w:rsidRDefault="00965FE1" w:rsidP="00A81622"/>
    <w:p w:rsidR="00965FE1" w:rsidRDefault="000C7B67" w:rsidP="008555DE">
      <w:pPr>
        <w:pStyle w:val="Titre3"/>
      </w:pPr>
      <w:r>
        <w:t xml:space="preserve">SC-SFBC: </w:t>
      </w:r>
      <w:r w:rsidR="00965FE1">
        <w:t>PAPR preserving SFBC</w:t>
      </w:r>
    </w:p>
    <w:p w:rsidR="00965FE1" w:rsidRDefault="00965FE1" w:rsidP="00965FE1">
      <w:r>
        <w:t xml:space="preserve">Classical SFBC schemes applying Alamouti precoding to adjacent subcarriers in DFTsOFDM are known </w:t>
      </w:r>
      <w:r w:rsidR="00970589">
        <w:t>for</w:t>
      </w:r>
      <w:r>
        <w:t xml:space="preserve"> break</w:t>
      </w:r>
      <w:r w:rsidR="00970589">
        <w:t>ing</w:t>
      </w:r>
      <w:r>
        <w:t xml:space="preserve"> the PAPR property. Neve</w:t>
      </w:r>
      <w:r w:rsidR="00E74F8A">
        <w:t>r</w:t>
      </w:r>
      <w:r>
        <w:t>theless</w:t>
      </w:r>
      <w:r w:rsidR="00E74F8A">
        <w:t>, PAPR-preserving SFBC has already been discussed in the literature</w:t>
      </w:r>
      <w:r w:rsidR="0086625B">
        <w:t xml:space="preserve"> </w:t>
      </w:r>
      <w:r w:rsidR="0086625B">
        <w:fldChar w:fldCharType="begin"/>
      </w:r>
      <w:r w:rsidR="0086625B">
        <w:instrText xml:space="preserve"> REF _Ref473758531 \r \h </w:instrText>
      </w:r>
      <w:r w:rsidR="0086625B">
        <w:fldChar w:fldCharType="separate"/>
      </w:r>
      <w:r w:rsidR="00613794">
        <w:t>[4]</w:t>
      </w:r>
      <w:r w:rsidR="0086625B">
        <w:fldChar w:fldCharType="end"/>
      </w:r>
      <w:r w:rsidR="00E74F8A">
        <w:t xml:space="preserve">. Alamouti precoding is applied at subcarrier level, after DFT precoding, just as in classical SFBC, as it can be seen in </w:t>
      </w:r>
      <w:r w:rsidR="0041189B">
        <w:fldChar w:fldCharType="begin"/>
      </w:r>
      <w:r w:rsidR="0041189B">
        <w:instrText xml:space="preserve"> REF _Ref468985453 \h </w:instrText>
      </w:r>
      <w:r w:rsidR="0041189B">
        <w:fldChar w:fldCharType="separate"/>
      </w:r>
      <w:r w:rsidR="00613794">
        <w:t xml:space="preserve">Figure </w:t>
      </w:r>
      <w:r w:rsidR="00613794">
        <w:rPr>
          <w:noProof/>
        </w:rPr>
        <w:t>1</w:t>
      </w:r>
      <w:r w:rsidR="0041189B">
        <w:fldChar w:fldCharType="end"/>
      </w:r>
      <w:r w:rsidR="00E74F8A">
        <w:t xml:space="preserve">. Alamouti precoded symbols can be mapped onto non-adjacent subcarriers in such a way that PAPR is </w:t>
      </w:r>
      <w:r w:rsidR="00EA4BE5">
        <w:t>pre</w:t>
      </w:r>
      <w:r w:rsidR="00E74F8A">
        <w:t>served.</w:t>
      </w:r>
      <w:r w:rsidR="0041189B">
        <w:t xml:space="preserve"> </w:t>
      </w:r>
      <w:r w:rsidR="0041189B">
        <w:fldChar w:fldCharType="begin"/>
      </w:r>
      <w:r w:rsidR="0041189B">
        <w:instrText xml:space="preserve"> REF _Ref468985465 \h </w:instrText>
      </w:r>
      <w:r w:rsidR="0041189B">
        <w:fldChar w:fldCharType="separate"/>
      </w:r>
      <w:r w:rsidR="00613794">
        <w:t xml:space="preserve">Figure </w:t>
      </w:r>
      <w:r w:rsidR="00613794">
        <w:rPr>
          <w:noProof/>
        </w:rPr>
        <w:t>2</w:t>
      </w:r>
      <w:r w:rsidR="0041189B">
        <w:fldChar w:fldCharType="end"/>
      </w:r>
      <w:r w:rsidR="0041189B">
        <w:t xml:space="preserve"> </w:t>
      </w:r>
      <w:r w:rsidR="00AD08EA">
        <w:t>depicts the subcarrier pairing:</w:t>
      </w:r>
      <w:r w:rsidR="0041189B">
        <w:t xml:space="preserve"> Alamouti pairs are mapped onto subcarriers </w:t>
      </w:r>
      <w:r w:rsidR="0041189B" w:rsidRPr="0041189B">
        <w:rPr>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8.8pt" o:ole="">
            <v:imagedata r:id="rId8" o:title=""/>
          </v:shape>
          <o:OLEObject Type="Embed" ProgID="Equation.DSMT4" ShapeID="_x0000_i1025" DrawAspect="Content" ObjectID="_1555428256" r:id="rId9"/>
        </w:object>
      </w:r>
      <w:r w:rsidR="0041189B">
        <w:t xml:space="preserve">and </w:t>
      </w:r>
      <w:r w:rsidR="0041189B" w:rsidRPr="0041189B">
        <w:rPr>
          <w:position w:val="-14"/>
        </w:rPr>
        <w:object w:dxaOrig="2280" w:dyaOrig="400">
          <v:shape id="_x0000_i1026" type="#_x0000_t75" style="width:113.95pt;height:20.05pt" o:ole="">
            <v:imagedata r:id="rId10" o:title=""/>
          </v:shape>
          <o:OLEObject Type="Embed" ProgID="Equation.DSMT4" ShapeID="_x0000_i1026" DrawAspect="Content" ObjectID="_1555428257" r:id="rId11"/>
        </w:object>
      </w:r>
      <w:r w:rsidR="0041189B">
        <w:t xml:space="preserve">. </w:t>
      </w:r>
      <w:r w:rsidR="0041189B" w:rsidRPr="0041189B">
        <w:rPr>
          <w:i/>
        </w:rPr>
        <w:t>M</w:t>
      </w:r>
      <w:r w:rsidR="0041189B">
        <w:t xml:space="preserve"> is the number of allocated subcarriers (DFT precoder size) and </w:t>
      </w:r>
      <w:r w:rsidR="0041189B" w:rsidRPr="0041189B">
        <w:rPr>
          <w:i/>
        </w:rPr>
        <w:t>p</w:t>
      </w:r>
      <w:r w:rsidR="0041189B">
        <w:t xml:space="preserve"> is an even integer, usually chosen as closes</w:t>
      </w:r>
      <w:r w:rsidR="00970589">
        <w:t>t</w:t>
      </w:r>
      <w:r w:rsidR="0041189B">
        <w:t xml:space="preserve"> possible to </w:t>
      </w:r>
      <w:r w:rsidR="0041189B" w:rsidRPr="0041189B">
        <w:rPr>
          <w:i/>
        </w:rPr>
        <w:t>M</w:t>
      </w:r>
      <w:r w:rsidR="0041189B">
        <w:t>/2 to minimize the distance between subcarriers carrying Alamouti precoded pairs. This PAPR-preserving SFBC is called SC-SFBC</w:t>
      </w:r>
      <w:r w:rsidR="0086625B">
        <w:t xml:space="preserve"> </w:t>
      </w:r>
      <w:r w:rsidR="0086625B">
        <w:fldChar w:fldCharType="begin"/>
      </w:r>
      <w:r w:rsidR="0086625B">
        <w:instrText xml:space="preserve"> REF _Ref473758531 \r \h </w:instrText>
      </w:r>
      <w:r w:rsidR="0086625B">
        <w:fldChar w:fldCharType="separate"/>
      </w:r>
      <w:r w:rsidR="00613794">
        <w:t>[4]</w:t>
      </w:r>
      <w:r w:rsidR="0086625B">
        <w:fldChar w:fldCharType="end"/>
      </w:r>
      <w:r w:rsidR="0041189B">
        <w:t>.</w:t>
      </w:r>
    </w:p>
    <w:p w:rsidR="0041189B" w:rsidRDefault="0041189B" w:rsidP="0041189B">
      <w:r>
        <w:t>In the frequency domain, this corresponds to sending on the second antenna port:</w:t>
      </w:r>
    </w:p>
    <w:p w:rsidR="00E74F8A" w:rsidRDefault="0041189B" w:rsidP="0041189B">
      <w:pPr>
        <w:pStyle w:val="Textebrut"/>
        <w:ind w:firstLine="198"/>
        <w:jc w:val="center"/>
      </w:pPr>
      <w:r w:rsidRPr="0041189B">
        <w:rPr>
          <w:position w:val="-14"/>
        </w:rPr>
        <w:object w:dxaOrig="3940" w:dyaOrig="400">
          <v:shape id="_x0000_i1027" type="#_x0000_t75" style="width:197.2pt;height:20.05pt" o:ole="">
            <v:imagedata r:id="rId12" o:title=""/>
          </v:shape>
          <o:OLEObject Type="Embed" ProgID="Equation.DSMT4" ShapeID="_x0000_i1027" DrawAspect="Content" ObjectID="_1555428258" r:id="rId13"/>
        </w:object>
      </w:r>
    </w:p>
    <w:p w:rsidR="001441CF" w:rsidRDefault="000B481B" w:rsidP="001441CF">
      <w:r>
        <w:t>w</w:t>
      </w:r>
      <w:r w:rsidR="001441CF">
        <w:t xml:space="preserve">here vector </w:t>
      </w:r>
      <w:r w:rsidR="001441CF" w:rsidRPr="00513046">
        <w:rPr>
          <w:position w:val="-12"/>
        </w:rPr>
        <w:object w:dxaOrig="1300" w:dyaOrig="360">
          <v:shape id="_x0000_i1028" type="#_x0000_t75" style="width:65.1pt;height:18.8pt" o:ole="">
            <v:imagedata r:id="rId14" o:title=""/>
          </v:shape>
          <o:OLEObject Type="Embed" ProgID="Equation.DSMT4" ShapeID="_x0000_i1028" DrawAspect="Content" ObjectID="_1555428259" r:id="rId15"/>
        </w:object>
      </w:r>
      <w:r w:rsidR="001441CF">
        <w:t xml:space="preserve"> represents a block of DFT precoded modulation symbols </w:t>
      </w:r>
      <w:r w:rsidR="001441CF" w:rsidRPr="00513046">
        <w:rPr>
          <w:b/>
        </w:rPr>
        <w:t>x</w:t>
      </w:r>
      <w:r w:rsidR="001441CF">
        <w:t xml:space="preserve"> which will be mapped as is onto the first antenna port. This is a DFTsOFDM signal. Since complex conjugation, time reversing, cyclic shifting and sign alternation applied in the frequency domain are PAPR preserving operations with respect to the time-domain signal, the resulting signal transmitted on the second antenna port has the same PAPR as the original signal. Indeed, as further explained in </w:t>
      </w:r>
      <w:r w:rsidR="001441CF">
        <w:fldChar w:fldCharType="begin"/>
      </w:r>
      <w:r w:rsidR="001441CF">
        <w:instrText xml:space="preserve"> REF _Ref473758543 \r \h </w:instrText>
      </w:r>
      <w:r w:rsidR="001441CF">
        <w:fldChar w:fldCharType="separate"/>
      </w:r>
      <w:r w:rsidR="00613794">
        <w:t>[5]</w:t>
      </w:r>
      <w:r w:rsidR="001441CF">
        <w:fldChar w:fldCharType="end"/>
      </w:r>
      <w:r w:rsidR="001441CF">
        <w:t xml:space="preserve">, this is equivalent to sending on the second antenna a DFTsOFDM signal corresponding to an equivalent constellation </w:t>
      </w:r>
      <w:r w:rsidR="001441CF" w:rsidRPr="00513046">
        <w:rPr>
          <w:position w:val="-10"/>
        </w:rPr>
        <w:object w:dxaOrig="660" w:dyaOrig="320">
          <v:shape id="_x0000_i1029" type="#_x0000_t75" style="width:33.2pt;height:16.3pt" o:ole="">
            <v:imagedata r:id="rId16" o:title=""/>
          </v:shape>
          <o:OLEObject Type="Embed" ProgID="Equation.DSMT4" ShapeID="_x0000_i1029" DrawAspect="Content" ObjectID="_1555428260" r:id="rId17"/>
        </w:object>
      </w:r>
      <w:r w:rsidR="001441CF">
        <w:t>:</w:t>
      </w:r>
    </w:p>
    <w:p w:rsidR="001441CF" w:rsidRDefault="001441CF" w:rsidP="001441CF">
      <w:pPr>
        <w:pStyle w:val="MTDisplayEquation"/>
      </w:pPr>
      <w:r>
        <w:tab/>
      </w:r>
      <w:r w:rsidRPr="00513046">
        <w:rPr>
          <w:position w:val="-16"/>
        </w:rPr>
        <w:object w:dxaOrig="4400" w:dyaOrig="520">
          <v:shape id="_x0000_i1030" type="#_x0000_t75" style="width:219.75pt;height:26.3pt" o:ole="">
            <v:imagedata r:id="rId18" o:title=""/>
          </v:shape>
          <o:OLEObject Type="Embed" ProgID="Equation.DSMT4" ShapeID="_x0000_i1030" DrawAspect="Content" ObjectID="_1555428261" r:id="rId19"/>
        </w:object>
      </w:r>
      <w:r>
        <w:t>.</w:t>
      </w:r>
    </w:p>
    <w:p w:rsidR="001441CF" w:rsidRDefault="001441CF" w:rsidP="001441CF">
      <w:r>
        <w:t>It is obvious that complex conjugation, cyclic shift or phase ramp applied in the time domain conserve the peak to average ratio of the input constellation and that the signal on the 2</w:t>
      </w:r>
      <w:r w:rsidRPr="001927A9">
        <w:rPr>
          <w:vertAlign w:val="superscript"/>
        </w:rPr>
        <w:t>nd</w:t>
      </w:r>
      <w:r>
        <w:t xml:space="preserve"> transmit antenna is a DFTsOFDM signal with the same PAPR as the one on the 1</w:t>
      </w:r>
      <w:r w:rsidRPr="001927A9">
        <w:rPr>
          <w:vertAlign w:val="superscript"/>
        </w:rPr>
        <w:t>st</w:t>
      </w:r>
      <w:r>
        <w:t xml:space="preserve"> transmit antenna. This is verified in </w:t>
      </w:r>
      <w:r>
        <w:fldChar w:fldCharType="begin"/>
      </w:r>
      <w:r>
        <w:instrText xml:space="preserve"> REF _Ref468986459 \h </w:instrText>
      </w:r>
      <w:r>
        <w:fldChar w:fldCharType="separate"/>
      </w:r>
      <w:r w:rsidR="00613794">
        <w:t xml:space="preserve">Figure </w:t>
      </w:r>
      <w:r w:rsidR="00613794">
        <w:rPr>
          <w:noProof/>
        </w:rPr>
        <w:t>3</w:t>
      </w:r>
      <w:r>
        <w:fldChar w:fldCharType="end"/>
      </w:r>
      <w:r>
        <w:t xml:space="preserve"> where the CCDF of the instantaneous normalized power is plotted for DFTsOFDM with STBC, SFBC and the PAPR preserving SC-SFBC.</w:t>
      </w:r>
    </w:p>
    <w:p w:rsidR="001441CF" w:rsidRDefault="001441CF" w:rsidP="001441CF">
      <w:r>
        <w:t>At the receiver side, the only difference between classical SFBC and SC-SFBC detection is the subcarrier mapping: by picking the subcarriers Alamouti-coded together instead of two successive subcarriers, the same receiver processing is applied as for classical SFBC transmission.</w:t>
      </w:r>
    </w:p>
    <w:p w:rsidR="001441CF" w:rsidRDefault="001441CF" w:rsidP="001441CF">
      <w:r>
        <w:t xml:space="preserve">Therefore, </w:t>
      </w:r>
      <w:r w:rsidRPr="00117541">
        <w:rPr>
          <w:i/>
        </w:rPr>
        <w:t>PAPR preserving SFBC shows the following characteristics:</w:t>
      </w:r>
    </w:p>
    <w:p w:rsidR="001441CF" w:rsidRPr="00117541" w:rsidRDefault="001441CF" w:rsidP="001441CF">
      <w:pPr>
        <w:pStyle w:val="Paragraphedeliste"/>
        <w:numPr>
          <w:ilvl w:val="0"/>
          <w:numId w:val="32"/>
        </w:numPr>
        <w:ind w:leftChars="0"/>
        <w:rPr>
          <w:i/>
        </w:rPr>
      </w:pPr>
      <w:r w:rsidRPr="00117541">
        <w:rPr>
          <w:i/>
        </w:rPr>
        <w:t>Full-diversity achieving</w:t>
      </w:r>
    </w:p>
    <w:p w:rsidR="001441CF" w:rsidRPr="00117541" w:rsidRDefault="001441CF" w:rsidP="001441CF">
      <w:pPr>
        <w:pStyle w:val="Paragraphedeliste"/>
        <w:numPr>
          <w:ilvl w:val="0"/>
          <w:numId w:val="32"/>
        </w:numPr>
        <w:ind w:leftChars="0"/>
        <w:rPr>
          <w:i/>
        </w:rPr>
      </w:pPr>
      <w:r w:rsidRPr="00117541">
        <w:rPr>
          <w:i/>
        </w:rPr>
        <w:t>Applicable to any number of symbols per slot</w:t>
      </w:r>
    </w:p>
    <w:p w:rsidR="001441CF" w:rsidRPr="00117541" w:rsidRDefault="001441CF" w:rsidP="001441CF">
      <w:pPr>
        <w:pStyle w:val="Paragraphedeliste"/>
        <w:numPr>
          <w:ilvl w:val="0"/>
          <w:numId w:val="32"/>
        </w:numPr>
        <w:ind w:leftChars="0"/>
        <w:rPr>
          <w:i/>
        </w:rPr>
      </w:pPr>
      <w:r w:rsidRPr="00117541">
        <w:rPr>
          <w:i/>
        </w:rPr>
        <w:t>PAPR conserving</w:t>
      </w:r>
    </w:p>
    <w:p w:rsidR="001441CF" w:rsidRPr="00965FE1" w:rsidRDefault="001441CF" w:rsidP="001441CF">
      <w:pPr>
        <w:pStyle w:val="Paragraphedeliste"/>
        <w:numPr>
          <w:ilvl w:val="0"/>
          <w:numId w:val="32"/>
        </w:numPr>
        <w:ind w:leftChars="0"/>
      </w:pPr>
      <w:r w:rsidRPr="008C5DF3">
        <w:rPr>
          <w:i/>
        </w:rPr>
        <w:t>Low-complexity frequency-domain MMSE detection based on order-2 matrix inversions</w:t>
      </w:r>
      <w:r>
        <w:t xml:space="preserve">. </w:t>
      </w:r>
    </w:p>
    <w:p w:rsidR="001441CF" w:rsidRDefault="001441CF" w:rsidP="00965FE1"/>
    <w:p w:rsidR="0041189B" w:rsidRDefault="00886D65" w:rsidP="00965FE1">
      <w:r>
        <w:rPr>
          <w:noProof/>
          <w:lang w:val="fr-FR" w:eastAsia="fr-FR"/>
        </w:rPr>
        <w:lastRenderedPageBreak/>
        <w:drawing>
          <wp:inline distT="0" distB="0" distL="0" distR="0">
            <wp:extent cx="6332220" cy="804164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07bis_SC-SFBC mapping.png"/>
                    <pic:cNvPicPr/>
                  </pic:nvPicPr>
                  <pic:blipFill>
                    <a:blip r:embed="rId20">
                      <a:extLst>
                        <a:ext uri="{28A0092B-C50C-407E-A947-70E740481C1C}">
                          <a14:useLocalDpi xmlns:a14="http://schemas.microsoft.com/office/drawing/2010/main" val="0"/>
                        </a:ext>
                      </a:extLst>
                    </a:blip>
                    <a:stretch>
                      <a:fillRect/>
                    </a:stretch>
                  </pic:blipFill>
                  <pic:spPr>
                    <a:xfrm>
                      <a:off x="0" y="0"/>
                      <a:ext cx="6332220" cy="8041640"/>
                    </a:xfrm>
                    <a:prstGeom prst="rect">
                      <a:avLst/>
                    </a:prstGeom>
                  </pic:spPr>
                </pic:pic>
              </a:graphicData>
            </a:graphic>
          </wp:inline>
        </w:drawing>
      </w:r>
    </w:p>
    <w:p w:rsidR="00E74F8A" w:rsidRDefault="00970589" w:rsidP="0041189B">
      <w:pPr>
        <w:keepNext/>
        <w:jc w:val="center"/>
      </w:pPr>
      <w:r>
        <w:rPr>
          <w:noProof/>
          <w:lang w:val="fr-FR" w:eastAsia="fr-FR"/>
        </w:rPr>
        <mc:AlternateContent>
          <mc:Choice Requires="wps">
            <w:drawing>
              <wp:anchor distT="0" distB="0" distL="114300" distR="114300" simplePos="0" relativeHeight="251659264" behindDoc="0" locked="0" layoutInCell="1" allowOverlap="1">
                <wp:simplePos x="0" y="0"/>
                <wp:positionH relativeFrom="column">
                  <wp:posOffset>706374</wp:posOffset>
                </wp:positionH>
                <wp:positionV relativeFrom="paragraph">
                  <wp:posOffset>1195451</wp:posOffset>
                </wp:positionV>
                <wp:extent cx="263347" cy="256032"/>
                <wp:effectExtent l="0" t="0" r="22860" b="10795"/>
                <wp:wrapNone/>
                <wp:docPr id="10" name="Rectangle 10"/>
                <wp:cNvGraphicFramePr/>
                <a:graphic xmlns:a="http://schemas.openxmlformats.org/drawingml/2006/main">
                  <a:graphicData uri="http://schemas.microsoft.com/office/word/2010/wordprocessingShape">
                    <wps:wsp>
                      <wps:cNvSpPr/>
                      <wps:spPr>
                        <a:xfrm>
                          <a:off x="0" y="0"/>
                          <a:ext cx="263347" cy="25603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40D1FF" id="Rectangle 10" o:spid="_x0000_s1026" style="position:absolute;margin-left:55.6pt;margin-top:94.15pt;width:20.75pt;height:20.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" fillcolor="white [3212]" strokecolor="white [3212]" strokeweight="2pt"/>
            </w:pict>
          </mc:Fallback>
        </mc:AlternateContent>
      </w:r>
    </w:p>
    <w:p w:rsidR="00E74F8A" w:rsidRDefault="00E74F8A" w:rsidP="00E74F8A">
      <w:pPr>
        <w:pStyle w:val="Lgende"/>
      </w:pPr>
      <w:bookmarkStart w:id="0" w:name="_Ref468985453"/>
      <w:r>
        <w:t xml:space="preserve">Figure </w:t>
      </w:r>
      <w:fldSimple w:instr=" SEQ Figure \* ARABIC ">
        <w:r w:rsidR="00613794">
          <w:rPr>
            <w:noProof/>
          </w:rPr>
          <w:t>1</w:t>
        </w:r>
      </w:fldSimple>
      <w:bookmarkEnd w:id="0"/>
      <w:r>
        <w:t xml:space="preserve"> </w:t>
      </w:r>
      <w:r w:rsidR="00AD08EA">
        <w:t>–</w:t>
      </w:r>
      <w:r w:rsidR="00E13757">
        <w:t xml:space="preserve"> </w:t>
      </w:r>
      <w:r w:rsidR="00AD08EA">
        <w:t xml:space="preserve">PAPR preserving </w:t>
      </w:r>
      <w:r>
        <w:t xml:space="preserve">SFBC for DFTsOFDM </w:t>
      </w:r>
      <w:r w:rsidR="00AD08EA">
        <w:t>long PUCCH</w:t>
      </w:r>
    </w:p>
    <w:p w:rsidR="00E74F8A" w:rsidRDefault="00E74F8A" w:rsidP="00965FE1"/>
    <w:p w:rsidR="00886D65" w:rsidRDefault="00886D65" w:rsidP="00965FE1"/>
    <w:p w:rsidR="00E74F8A" w:rsidRDefault="00E74F8A" w:rsidP="0041189B">
      <w:pPr>
        <w:jc w:val="center"/>
      </w:pPr>
      <w:r>
        <w:rPr>
          <w:noProof/>
          <w:lang w:val="fr-FR" w:eastAsia="fr-FR"/>
        </w:rPr>
        <w:lastRenderedPageBreak/>
        <w:drawing>
          <wp:inline distT="0" distB="0" distL="0" distR="0" wp14:anchorId="67964B8F" wp14:editId="0BDD891D">
            <wp:extent cx="5015311" cy="1397550"/>
            <wp:effectExtent l="19050" t="0" r="0" b="0"/>
            <wp:docPr id="1" name="Image 0" descr="Fig07bis_SC-SFBC mapp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7bis_SC-SFBC mapping.emf"/>
                    <pic:cNvPicPr/>
                  </pic:nvPicPr>
                  <pic:blipFill>
                    <a:blip r:embed="rId21"/>
                    <a:stretch>
                      <a:fillRect/>
                    </a:stretch>
                  </pic:blipFill>
                  <pic:spPr>
                    <a:xfrm>
                      <a:off x="0" y="0"/>
                      <a:ext cx="5015311" cy="1397550"/>
                    </a:xfrm>
                    <a:prstGeom prst="rect">
                      <a:avLst/>
                    </a:prstGeom>
                  </pic:spPr>
                </pic:pic>
              </a:graphicData>
            </a:graphic>
          </wp:inline>
        </w:drawing>
      </w:r>
    </w:p>
    <w:p w:rsidR="00A81622" w:rsidRDefault="00E74F8A" w:rsidP="00E74F8A">
      <w:pPr>
        <w:pStyle w:val="Lgende"/>
      </w:pPr>
      <w:bookmarkStart w:id="1" w:name="_Ref468985465"/>
      <w:r>
        <w:t xml:space="preserve">Figure </w:t>
      </w:r>
      <w:fldSimple w:instr=" SEQ Figure \* ARABIC ">
        <w:r w:rsidR="00613794">
          <w:rPr>
            <w:noProof/>
          </w:rPr>
          <w:t>2</w:t>
        </w:r>
      </w:fldSimple>
      <w:bookmarkEnd w:id="1"/>
      <w:r w:rsidR="00E13757">
        <w:t xml:space="preserve"> - </w:t>
      </w:r>
      <w:r w:rsidR="00501E73">
        <w:t xml:space="preserve">Mapping of Alamouti pairs </w:t>
      </w:r>
      <w:r>
        <w:t>to subcarriers for PAPR preserving SFBC in DFTsOFDM</w:t>
      </w:r>
    </w:p>
    <w:p w:rsidR="0049738E" w:rsidRDefault="0049738E" w:rsidP="0041189B"/>
    <w:p w:rsidR="0041189B" w:rsidRDefault="0041189B" w:rsidP="0041189B">
      <w:pPr>
        <w:pStyle w:val="Lgende"/>
        <w:jc w:val="center"/>
      </w:pPr>
      <w:r>
        <w:rPr>
          <w:noProof/>
          <w:lang w:val="fr-FR" w:eastAsia="fr-FR"/>
        </w:rPr>
        <w:drawing>
          <wp:inline distT="0" distB="0" distL="0" distR="0" wp14:anchorId="3628EADE">
            <wp:extent cx="3877310" cy="2834640"/>
            <wp:effectExtent l="0" t="0" r="889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77310" cy="2834640"/>
                    </a:xfrm>
                    <a:prstGeom prst="rect">
                      <a:avLst/>
                    </a:prstGeom>
                    <a:noFill/>
                  </pic:spPr>
                </pic:pic>
              </a:graphicData>
            </a:graphic>
          </wp:inline>
        </w:drawing>
      </w:r>
    </w:p>
    <w:p w:rsidR="00E74F8A" w:rsidRDefault="0041189B" w:rsidP="0041189B">
      <w:pPr>
        <w:pStyle w:val="Lgende"/>
      </w:pPr>
      <w:bookmarkStart w:id="2" w:name="_Ref468986459"/>
      <w:r>
        <w:t xml:space="preserve">Figure </w:t>
      </w:r>
      <w:fldSimple w:instr=" SEQ Figure \* ARABIC ">
        <w:r w:rsidR="00613794">
          <w:rPr>
            <w:noProof/>
          </w:rPr>
          <w:t>3</w:t>
        </w:r>
      </w:fldSimple>
      <w:bookmarkEnd w:id="2"/>
      <w:r w:rsidR="00E13757">
        <w:t xml:space="preserve"> - </w:t>
      </w:r>
      <w:r>
        <w:t>PAPR of PAPR-preserving SFBC in DFTsOFDM</w:t>
      </w:r>
    </w:p>
    <w:p w:rsidR="002E4AD1" w:rsidRDefault="002E4AD1" w:rsidP="002E4AD1"/>
    <w:p w:rsidR="000C7B67" w:rsidRPr="0073662B" w:rsidRDefault="000C7B67" w:rsidP="000C7B67">
      <w:pPr>
        <w:pStyle w:val="Titre3"/>
      </w:pPr>
      <w:r w:rsidRPr="0073662B">
        <w:t>Split-symbol STBC</w:t>
      </w:r>
      <w:r>
        <w:t xml:space="preserve"> (SS-STBC)</w:t>
      </w:r>
    </w:p>
    <w:p w:rsidR="000C7B67" w:rsidRPr="0073662B" w:rsidRDefault="000C7B67" w:rsidP="000C7B67">
      <w:r w:rsidRPr="0073662B">
        <w:t xml:space="preserve">Split-symbol STBC </w:t>
      </w:r>
      <w:r w:rsidRPr="0073662B">
        <w:fldChar w:fldCharType="begin"/>
      </w:r>
      <w:r w:rsidRPr="0073662B">
        <w:instrText xml:space="preserve"> REF _Ref477358745 \r \h  \* MERGEFORMAT </w:instrText>
      </w:r>
      <w:r w:rsidRPr="0073662B">
        <w:fldChar w:fldCharType="separate"/>
      </w:r>
      <w:r w:rsidR="00613794">
        <w:t>[6]</w:t>
      </w:r>
      <w:r w:rsidRPr="0073662B">
        <w:fldChar w:fldCharType="end"/>
      </w:r>
      <w:r w:rsidRPr="0073662B">
        <w:t xml:space="preserve"> performs pre-DFT Alamouti between a first and a second symbol half: </w:t>
      </w:r>
      <w:r w:rsidRPr="0073662B">
        <w:rPr>
          <w:position w:val="-10"/>
        </w:rPr>
        <w:object w:dxaOrig="1560" w:dyaOrig="320">
          <v:shape id="_x0000_i1031" type="#_x0000_t75" style="width:78.25pt;height:15.65pt" o:ole="">
            <v:imagedata r:id="rId23" o:title=""/>
          </v:shape>
          <o:OLEObject Type="Embed" ProgID="Equation.DSMT4" ShapeID="_x0000_i1031" DrawAspect="Content" ObjectID="_1555428262" r:id="rId24"/>
        </w:object>
      </w:r>
      <w:r w:rsidRPr="0073662B">
        <w:t xml:space="preserve"> and </w:t>
      </w:r>
      <w:r w:rsidRPr="0073662B">
        <w:rPr>
          <w:position w:val="-10"/>
        </w:rPr>
        <w:object w:dxaOrig="2079" w:dyaOrig="320">
          <v:shape id="_x0000_i1032" type="#_x0000_t75" style="width:104.55pt;height:15.65pt" o:ole="">
            <v:imagedata r:id="rId25" o:title=""/>
          </v:shape>
          <o:OLEObject Type="Embed" ProgID="Equation.DSMT4" ShapeID="_x0000_i1032" DrawAspect="Content" ObjectID="_1555428263" r:id="rId26"/>
        </w:object>
      </w:r>
      <w:r w:rsidRPr="0073662B">
        <w:t>. There is a strong similarity between the generation of split-symbol STBC in the time domain and the frequency-domain generation of SC-SFBC in the frequency domain, relying on symbol order reversing, sign changes and complex conjugation in order to obtain desired features via Fourier transform properties. Nevertheless, frequency domain properties of the two schemes are fundamentally different.</w:t>
      </w:r>
    </w:p>
    <w:p w:rsidR="000C7B67" w:rsidRPr="0073662B" w:rsidRDefault="000C7B67" w:rsidP="000C7B67">
      <w:r w:rsidRPr="0073662B">
        <w:t xml:space="preserve">Split-symbol STBC is PAPR preserving, operating on single symbol DFTsOFDM, full diversity achieving. To limit the mutual interference between the </w:t>
      </w:r>
      <w:r w:rsidRPr="0073662B">
        <w:rPr>
          <w:b/>
        </w:rPr>
        <w:t>a</w:t>
      </w:r>
      <w:r w:rsidRPr="0073662B">
        <w:t xml:space="preserve"> and </w:t>
      </w:r>
      <w:r w:rsidRPr="0073662B">
        <w:rPr>
          <w:b/>
        </w:rPr>
        <w:t>b</w:t>
      </w:r>
      <w:r w:rsidRPr="0073662B">
        <w:t xml:space="preserve"> halves of the symbol, a cyclic prefix/postfix of sufficient length to absorb both the multipath channel and the interference due to DFTsOFDM joint processing of the two halves needs to be inserted in between these halves, at the expense of spectral efficiency loss. </w:t>
      </w:r>
      <w:r>
        <w:t>Although at very low SNR the cyclic prefix/postfix may be skipped on very low dispersive channels, i</w:t>
      </w:r>
      <w:r w:rsidRPr="0073662B">
        <w:t>nsufficient cyclic pre/postfix leads to performance degradation</w:t>
      </w:r>
      <w:r>
        <w:t xml:space="preserve"> </w:t>
      </w:r>
      <w:r w:rsidRPr="0073662B">
        <w:t xml:space="preserve">in highly selective channels. This cyclic prefix/postfix insertion also enables frequency-domain decoding of the split-symbol STBC, with some extra complexity wrt to SFBC-type precoding (two extra DFTs </w:t>
      </w:r>
      <w:r>
        <w:t xml:space="preserve">and two extra IDFTs </w:t>
      </w:r>
      <w:r w:rsidRPr="0073662B">
        <w:t>of size (M-N</w:t>
      </w:r>
      <w:r w:rsidRPr="0073662B">
        <w:rPr>
          <w:vertAlign w:val="subscript"/>
        </w:rPr>
        <w:t>pre/postfix</w:t>
      </w:r>
      <w:r w:rsidRPr="0073662B">
        <w:t xml:space="preserve">)/2). </w:t>
      </w:r>
    </w:p>
    <w:p w:rsidR="000C7B67" w:rsidRDefault="000C7B67" w:rsidP="002E4AD1"/>
    <w:p w:rsidR="000C7B67" w:rsidRPr="002E4AD1" w:rsidRDefault="000C7B67" w:rsidP="002E4AD1"/>
    <w:p w:rsidR="00E74F8A" w:rsidRDefault="0041189B" w:rsidP="0041189B">
      <w:pPr>
        <w:pStyle w:val="Titre2"/>
      </w:pPr>
      <w:r>
        <w:lastRenderedPageBreak/>
        <w:t>Other open loop transmit diversity schemes in DFTsOFDM</w:t>
      </w:r>
    </w:p>
    <w:p w:rsidR="00E13757" w:rsidRDefault="00302034" w:rsidP="00E13757">
      <w:pPr>
        <w:keepNext/>
        <w:jc w:val="center"/>
      </w:pPr>
      <w:r>
        <w:rPr>
          <w:noProof/>
          <w:lang w:val="fr-FR" w:eastAsia="fr-FR"/>
        </w:rPr>
        <w:drawing>
          <wp:inline distT="0" distB="0" distL="0" distR="0" wp14:anchorId="0D887AEE" wp14:editId="47E0B34F">
            <wp:extent cx="4226400" cy="1288800"/>
            <wp:effectExtent l="0" t="0" r="3175" b="698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ftschemaCDD.png"/>
                    <pic:cNvPicPr/>
                  </pic:nvPicPr>
                  <pic:blipFill>
                    <a:blip r:embed="rId27">
                      <a:extLst>
                        <a:ext uri="{28A0092B-C50C-407E-A947-70E740481C1C}">
                          <a14:useLocalDpi xmlns:a14="http://schemas.microsoft.com/office/drawing/2010/main" val="0"/>
                        </a:ext>
                      </a:extLst>
                    </a:blip>
                    <a:stretch>
                      <a:fillRect/>
                    </a:stretch>
                  </pic:blipFill>
                  <pic:spPr>
                    <a:xfrm>
                      <a:off x="0" y="0"/>
                      <a:ext cx="4226400" cy="1288800"/>
                    </a:xfrm>
                    <a:prstGeom prst="rect">
                      <a:avLst/>
                    </a:prstGeom>
                  </pic:spPr>
                </pic:pic>
              </a:graphicData>
            </a:graphic>
          </wp:inline>
        </w:drawing>
      </w:r>
    </w:p>
    <w:p w:rsidR="0041189B" w:rsidRDefault="00E13757" w:rsidP="00302034">
      <w:pPr>
        <w:pStyle w:val="Lgende"/>
        <w:jc w:val="center"/>
      </w:pPr>
      <w:bookmarkStart w:id="3" w:name="_Ref473799142"/>
      <w:r>
        <w:t xml:space="preserve">Figure </w:t>
      </w:r>
      <w:fldSimple w:instr=" SEQ Figure \* ARABIC ">
        <w:r w:rsidR="00613794">
          <w:rPr>
            <w:noProof/>
          </w:rPr>
          <w:t>4</w:t>
        </w:r>
      </w:fldSimple>
      <w:bookmarkEnd w:id="3"/>
      <w:r w:rsidR="00302034">
        <w:t xml:space="preserve"> - C</w:t>
      </w:r>
      <w:r>
        <w:t>yclic delay diversity (CDD)</w:t>
      </w:r>
    </w:p>
    <w:p w:rsidR="001441CF" w:rsidRDefault="001441CF" w:rsidP="0041189B"/>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302034" w:rsidTr="00302034">
        <w:tc>
          <w:tcPr>
            <w:tcW w:w="4981" w:type="dxa"/>
          </w:tcPr>
          <w:p w:rsidR="00302034" w:rsidRDefault="00302034" w:rsidP="0041189B">
            <w:r>
              <w:rPr>
                <w:noProof/>
                <w:lang w:val="fr-FR" w:eastAsia="fr-FR"/>
              </w:rPr>
              <w:drawing>
                <wp:inline distT="0" distB="0" distL="0" distR="0" wp14:anchorId="7D52F543" wp14:editId="729804A5">
                  <wp:extent cx="2804400" cy="946800"/>
                  <wp:effectExtent l="0" t="0" r="0" b="571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ranspPVC.png"/>
                          <pic:cNvPicPr/>
                        </pic:nvPicPr>
                        <pic:blipFill>
                          <a:blip r:embed="rId28">
                            <a:extLst>
                              <a:ext uri="{28A0092B-C50C-407E-A947-70E740481C1C}">
                                <a14:useLocalDpi xmlns:a14="http://schemas.microsoft.com/office/drawing/2010/main" val="0"/>
                              </a:ext>
                            </a:extLst>
                          </a:blip>
                          <a:stretch>
                            <a:fillRect/>
                          </a:stretch>
                        </pic:blipFill>
                        <pic:spPr>
                          <a:xfrm>
                            <a:off x="0" y="0"/>
                            <a:ext cx="2804400" cy="946800"/>
                          </a:xfrm>
                          <a:prstGeom prst="rect">
                            <a:avLst/>
                          </a:prstGeom>
                        </pic:spPr>
                      </pic:pic>
                    </a:graphicData>
                  </a:graphic>
                </wp:inline>
              </w:drawing>
            </w:r>
          </w:p>
          <w:p w:rsidR="00302034" w:rsidRDefault="00302034" w:rsidP="00302034">
            <w:pPr>
              <w:pStyle w:val="Paragraphedeliste"/>
              <w:numPr>
                <w:ilvl w:val="0"/>
                <w:numId w:val="36"/>
              </w:numPr>
              <w:ind w:leftChars="0"/>
            </w:pPr>
            <w:r>
              <w:t>DM-RS transparent precoder cycling</w:t>
            </w:r>
          </w:p>
        </w:tc>
        <w:tc>
          <w:tcPr>
            <w:tcW w:w="4981" w:type="dxa"/>
          </w:tcPr>
          <w:p w:rsidR="00302034" w:rsidRDefault="00302034" w:rsidP="0041189B">
            <w:r>
              <w:rPr>
                <w:noProof/>
                <w:lang w:val="fr-FR" w:eastAsia="fr-FR"/>
              </w:rPr>
              <w:drawing>
                <wp:inline distT="0" distB="0" distL="0" distR="0">
                  <wp:extent cx="2804400" cy="946800"/>
                  <wp:effectExtent l="0" t="0" r="0" b="571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NontranspPVC.png"/>
                          <pic:cNvPicPr/>
                        </pic:nvPicPr>
                        <pic:blipFill>
                          <a:blip r:embed="rId29">
                            <a:extLst>
                              <a:ext uri="{28A0092B-C50C-407E-A947-70E740481C1C}">
                                <a14:useLocalDpi xmlns:a14="http://schemas.microsoft.com/office/drawing/2010/main" val="0"/>
                              </a:ext>
                            </a:extLst>
                          </a:blip>
                          <a:stretch>
                            <a:fillRect/>
                          </a:stretch>
                        </pic:blipFill>
                        <pic:spPr>
                          <a:xfrm>
                            <a:off x="0" y="0"/>
                            <a:ext cx="2804400" cy="946800"/>
                          </a:xfrm>
                          <a:prstGeom prst="rect">
                            <a:avLst/>
                          </a:prstGeom>
                        </pic:spPr>
                      </pic:pic>
                    </a:graphicData>
                  </a:graphic>
                </wp:inline>
              </w:drawing>
            </w:r>
          </w:p>
          <w:p w:rsidR="00302034" w:rsidRDefault="00302034" w:rsidP="00302034">
            <w:pPr>
              <w:pStyle w:val="Paragraphedeliste"/>
              <w:keepNext/>
              <w:numPr>
                <w:ilvl w:val="0"/>
                <w:numId w:val="36"/>
              </w:numPr>
              <w:ind w:leftChars="0"/>
            </w:pPr>
            <w:r>
              <w:t>Non-transparent precoder cycling</w:t>
            </w:r>
          </w:p>
        </w:tc>
      </w:tr>
    </w:tbl>
    <w:p w:rsidR="00302034" w:rsidRDefault="00302034" w:rsidP="00302034">
      <w:pPr>
        <w:pStyle w:val="Lgende"/>
        <w:jc w:val="center"/>
      </w:pPr>
      <w:bookmarkStart w:id="4" w:name="_Ref481679428"/>
      <w:r>
        <w:t xml:space="preserve">Figure </w:t>
      </w:r>
      <w:fldSimple w:instr=" SEQ Figure \* ARABIC ">
        <w:r w:rsidR="00613794">
          <w:rPr>
            <w:noProof/>
          </w:rPr>
          <w:t>5</w:t>
        </w:r>
      </w:fldSimple>
      <w:bookmarkEnd w:id="4"/>
      <w:r>
        <w:t xml:space="preserve"> – Time-domain </w:t>
      </w:r>
      <w:r w:rsidR="00B71ABF">
        <w:t>beam/</w:t>
      </w:r>
      <w:r>
        <w:t>precoder cycling</w:t>
      </w:r>
    </w:p>
    <w:p w:rsidR="00613794" w:rsidRDefault="00613794" w:rsidP="00613794">
      <w:pPr>
        <w:keepNext/>
        <w:jc w:val="center"/>
      </w:pPr>
      <w:r w:rsidRPr="00D33D55">
        <w:rPr>
          <w:noProof/>
          <w:sz w:val="20"/>
          <w:szCs w:val="20"/>
          <w:lang w:val="fr-FR" w:eastAsia="fr-FR"/>
        </w:rPr>
        <w:drawing>
          <wp:inline distT="0" distB="0" distL="0" distR="0" wp14:anchorId="7AD89220" wp14:editId="616AE03E">
            <wp:extent cx="3682800" cy="15228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682800" cy="1522800"/>
                    </a:xfrm>
                    <a:prstGeom prst="rect">
                      <a:avLst/>
                    </a:prstGeom>
                    <a:noFill/>
                    <a:ln>
                      <a:noFill/>
                    </a:ln>
                  </pic:spPr>
                </pic:pic>
              </a:graphicData>
            </a:graphic>
          </wp:inline>
        </w:drawing>
      </w:r>
    </w:p>
    <w:p w:rsidR="00613794" w:rsidRDefault="00613794" w:rsidP="00613794">
      <w:pPr>
        <w:pStyle w:val="Lgende"/>
        <w:jc w:val="center"/>
      </w:pPr>
      <w:bookmarkStart w:id="5" w:name="_Ref473801344"/>
      <w:r>
        <w:t xml:space="preserve">Figure </w:t>
      </w:r>
      <w:fldSimple w:instr=" SEQ Figure \* ARABIC ">
        <w:r>
          <w:rPr>
            <w:noProof/>
          </w:rPr>
          <w:t>6</w:t>
        </w:r>
      </w:fldSimple>
      <w:bookmarkEnd w:id="5"/>
      <w:r>
        <w:t xml:space="preserve"> – SORTD with DFTsOFDM</w:t>
      </w:r>
    </w:p>
    <w:p w:rsidR="0041189B" w:rsidRDefault="000C44B0" w:rsidP="0041189B">
      <w:r>
        <w:t>CDD</w:t>
      </w:r>
      <w:r w:rsidR="00613794">
        <w:t xml:space="preserve"> </w:t>
      </w:r>
      <w:r w:rsidR="00613794">
        <w:fldChar w:fldCharType="begin"/>
      </w:r>
      <w:r w:rsidR="00613794">
        <w:instrText xml:space="preserve"> REF _Ref473799142 \h </w:instrText>
      </w:r>
      <w:r w:rsidR="00613794">
        <w:fldChar w:fldCharType="separate"/>
      </w:r>
      <w:r w:rsidR="00613794">
        <w:t xml:space="preserve">Figure </w:t>
      </w:r>
      <w:r w:rsidR="00613794">
        <w:rPr>
          <w:noProof/>
        </w:rPr>
        <w:t>4</w:t>
      </w:r>
      <w:r w:rsidR="00613794">
        <w:fldChar w:fldCharType="end"/>
      </w:r>
      <w:r>
        <w:t xml:space="preserve"> transforms the spatial diversity into frequency diversity</w:t>
      </w:r>
      <w:r w:rsidR="004D652B">
        <w:t xml:space="preserve"> and recovers the extra diversity through coding</w:t>
      </w:r>
      <w:r>
        <w:t xml:space="preserve">. For single layer transmission this is achieved by sending onto a second antenna port a cyclically delayed copy of the signal sent on a first antenna port, which is equivalent to SIMO transmission over a channel with modified impulse response. Cyclic delay operation can be implemented as a phase ramp applied </w:t>
      </w:r>
      <w:r w:rsidR="00970589">
        <w:t xml:space="preserve">in </w:t>
      </w:r>
      <w:r>
        <w:t>the frequency domain, similar to a precoding operation.</w:t>
      </w:r>
      <w:r w:rsidR="00886D65">
        <w:t xml:space="preserve"> This operation is transparent if the delay is short enough</w:t>
      </w:r>
      <w:r w:rsidR="00613794">
        <w:t xml:space="preserve"> (SD-CDD)</w:t>
      </w:r>
      <w:r w:rsidR="00886D65">
        <w:t xml:space="preserve">. </w:t>
      </w:r>
      <w:r w:rsidR="00EE0EE0">
        <w:t xml:space="preserve">Nevertheless, as it will be shown in the following, CDD has limited gain in already </w:t>
      </w:r>
      <w:r w:rsidR="004D652B">
        <w:t>frequency</w:t>
      </w:r>
      <w:r w:rsidR="00EE0EE0">
        <w:t xml:space="preserve"> selective environments, </w:t>
      </w:r>
      <w:r w:rsidR="004D652B">
        <w:t>such as PUCCH transmission supporting frequency hopping.</w:t>
      </w:r>
    </w:p>
    <w:p w:rsidR="00842DBA" w:rsidRDefault="00613794" w:rsidP="003C27D5">
      <w:r>
        <w:t xml:space="preserve">DM-RS transparent time-domain beam/precoder cycling </w:t>
      </w:r>
      <w:r w:rsidR="000C44B0">
        <w:t xml:space="preserve">performs </w:t>
      </w:r>
      <w:r>
        <w:t xml:space="preserve">beam/precoder </w:t>
      </w:r>
      <w:r w:rsidR="000C44B0">
        <w:t>switching during a codeword transmission</w:t>
      </w:r>
      <w:r w:rsidR="00B71ABF">
        <w:t xml:space="preserve">, as in </w:t>
      </w:r>
      <w:r w:rsidR="00B71ABF">
        <w:fldChar w:fldCharType="begin"/>
      </w:r>
      <w:r w:rsidR="00B71ABF">
        <w:instrText xml:space="preserve"> REF _Ref481679428 \h </w:instrText>
      </w:r>
      <w:r w:rsidR="00B71ABF">
        <w:fldChar w:fldCharType="separate"/>
      </w:r>
      <w:r w:rsidR="00B71ABF">
        <w:t xml:space="preserve">Figure </w:t>
      </w:r>
      <w:r w:rsidR="00B71ABF">
        <w:rPr>
          <w:noProof/>
        </w:rPr>
        <w:t>5</w:t>
      </w:r>
      <w:r w:rsidR="00B71ABF">
        <w:fldChar w:fldCharType="end"/>
      </w:r>
      <w:r w:rsidR="00B71ABF">
        <w:t>a</w:t>
      </w:r>
      <w:r w:rsidR="000C44B0">
        <w:t xml:space="preserve">. </w:t>
      </w:r>
      <w:r w:rsidR="00B24C17">
        <w:t xml:space="preserve">DM-RS suffer the same precoding as the UCI part. </w:t>
      </w:r>
      <w:r w:rsidR="00B71ABF">
        <w:t xml:space="preserve">Non-transparent time domain beam/precoder cycling is represented in </w:t>
      </w:r>
      <w:r w:rsidR="00B71ABF">
        <w:fldChar w:fldCharType="begin"/>
      </w:r>
      <w:r w:rsidR="00B71ABF">
        <w:instrText xml:space="preserve"> REF _Ref481679428 \h </w:instrText>
      </w:r>
      <w:r w:rsidR="00B71ABF">
        <w:fldChar w:fldCharType="separate"/>
      </w:r>
      <w:r w:rsidR="00B71ABF">
        <w:t xml:space="preserve">Figure </w:t>
      </w:r>
      <w:r w:rsidR="00B71ABF">
        <w:rPr>
          <w:noProof/>
        </w:rPr>
        <w:t>5</w:t>
      </w:r>
      <w:r w:rsidR="00B71ABF">
        <w:fldChar w:fldCharType="end"/>
      </w:r>
      <w:r w:rsidR="00B71ABF">
        <w:t>b</w:t>
      </w:r>
      <w:r w:rsidR="00B24C17">
        <w:t>, where the number of orthogonal DM-RS sequences superposed in each pilot position equals the number of antenna ports, and the precoder structure is known through specification</w:t>
      </w:r>
      <w:r w:rsidR="00B71ABF">
        <w:t xml:space="preserve">. These schemes were thoroughly investigated in our companion contribution </w:t>
      </w:r>
      <w:r w:rsidR="00B24C17">
        <w:fldChar w:fldCharType="begin"/>
      </w:r>
      <w:r w:rsidR="00B24C17">
        <w:instrText xml:space="preserve"> REF _Ref477968925 \r \h </w:instrText>
      </w:r>
      <w:r w:rsidR="00B24C17">
        <w:fldChar w:fldCharType="separate"/>
      </w:r>
      <w:r w:rsidR="00B24C17">
        <w:t>[5]</w:t>
      </w:r>
      <w:r w:rsidR="00B24C17">
        <w:fldChar w:fldCharType="end"/>
      </w:r>
      <w:r w:rsidR="00B24C17">
        <w:t xml:space="preserve"> and it was concluded that time-domain beam/precoder cycling has inferior performance with respect to both Alamouti-based and SD-CDD schemes. Moreover, in a PUCCH with long format context where a variable number of symbols from 4 to 14 symbols is supported, time-domain cycling imposes constraints on DM-RS positioning, and is completely infeasible for transmission with 4 or 5 symbols and frequency hopping. </w:t>
      </w:r>
      <w:r w:rsidR="008B7E3A">
        <w:t xml:space="preserve">We will not further investigate </w:t>
      </w:r>
      <w:r w:rsidR="00B24C17">
        <w:t xml:space="preserve">time domain </w:t>
      </w:r>
      <w:r w:rsidR="00B24C17">
        <w:lastRenderedPageBreak/>
        <w:t xml:space="preserve">beam/precoder cycling </w:t>
      </w:r>
      <w:r w:rsidR="008B7E3A">
        <w:t>here.</w:t>
      </w:r>
      <w:r w:rsidR="00B24C17">
        <w:t xml:space="preserve"> Please note that this conclusion stands for beam/precoder cycling within a long PUCCH duration transmission. Spec-transparent time domain beam/precoder/panel cycling with switching period superior to 1 or several long PUCCH duration is useful for combating slow fading/blocking effects and can be jointly implemented with Alamouti-based schemes or SORTD, SD-CDD, etc.</w:t>
      </w:r>
    </w:p>
    <w:p w:rsidR="002E4AD1" w:rsidRDefault="00EE0EE0" w:rsidP="003C27D5">
      <w:r w:rsidRPr="00EE0EE0">
        <w:t xml:space="preserve">With spatial orthogonal resource transmit diversity </w:t>
      </w:r>
      <w:r>
        <w:t xml:space="preserve">(SORTD) used in LTE-A, as depicted in </w:t>
      </w:r>
      <w:r>
        <w:fldChar w:fldCharType="begin"/>
      </w:r>
      <w:r>
        <w:instrText xml:space="preserve"> REF _Ref473801344 \h </w:instrText>
      </w:r>
      <w:r>
        <w:fldChar w:fldCharType="separate"/>
      </w:r>
      <w:r w:rsidR="00613794">
        <w:t xml:space="preserve">Figure </w:t>
      </w:r>
      <w:r w:rsidR="00613794">
        <w:rPr>
          <w:noProof/>
        </w:rPr>
        <w:t>6</w:t>
      </w:r>
      <w:r>
        <w:fldChar w:fldCharType="end"/>
      </w:r>
      <w:r w:rsidRPr="00EE0EE0">
        <w:t xml:space="preserve">, one orthogonal resource, e.g. one orthogonal sequence (OCC), is used for each transmit antenna. Compared to other schemes, SORTD requires two </w:t>
      </w:r>
      <w:r w:rsidR="006E469E">
        <w:t xml:space="preserve">OCC </w:t>
      </w:r>
      <w:r w:rsidRPr="00EE0EE0">
        <w:t>resources per UE instead of one. Thus, the multiplexing capacity is reduced from 5 to 2.5 UEs per PUCCH PRB</w:t>
      </w:r>
      <w:r>
        <w:t xml:space="preserve">. Even though its performance is lower than that of Alamouti schemes </w:t>
      </w:r>
      <w:r>
        <w:fldChar w:fldCharType="begin"/>
      </w:r>
      <w:r>
        <w:instrText xml:space="preserve"> REF _Ref473758040 \r \h </w:instrText>
      </w:r>
      <w:r>
        <w:fldChar w:fldCharType="separate"/>
      </w:r>
      <w:r w:rsidR="00613794">
        <w:t>[3]</w:t>
      </w:r>
      <w:r>
        <w:fldChar w:fldCharType="end"/>
      </w:r>
      <w:r>
        <w:t>, this scheme was preferred in LTE-A for specification effort reduction, since not much specification effort was needed to add this scheme to pre-existing LTE specifications. This is not a valid argument any longer and performance should be the prime argument, since NR specifications need to be written from scratch.</w:t>
      </w:r>
      <w:r w:rsidR="008B7E3A">
        <w:t xml:space="preserve"> We will not further investigate this scheme here.</w:t>
      </w:r>
    </w:p>
    <w:p w:rsidR="00E74F8A" w:rsidRDefault="00E74F8A" w:rsidP="00A81622">
      <w:pPr>
        <w:pBdr>
          <w:bottom w:val="single" w:sz="12" w:space="1" w:color="auto"/>
        </w:pBdr>
      </w:pPr>
    </w:p>
    <w:p w:rsidR="00324558" w:rsidRDefault="002B4B53" w:rsidP="00A81622">
      <w:pPr>
        <w:pStyle w:val="Titre1"/>
      </w:pPr>
      <w:r>
        <w:t>Initial Evaluation</w:t>
      </w:r>
    </w:p>
    <w:p w:rsidR="008B7E3A" w:rsidRDefault="008B7E3A" w:rsidP="00F91D30">
      <w:r>
        <w:t>We present initial simulation results comparing the performance of PAPR-preserving SC-SFBC, SFBC and CDD for DFTsOFDM long PUCCH transmission</w:t>
      </w:r>
      <w:r w:rsidR="00E03EB3">
        <w:t xml:space="preserve"> in a scenario similar to format 4 LTE PUCCH</w:t>
      </w:r>
      <w:r>
        <w:t xml:space="preserve">. In this initial evaluations, we use the following simulation parameters </w:t>
      </w:r>
    </w:p>
    <w:tbl>
      <w:tblPr>
        <w:tblW w:w="0" w:type="auto"/>
        <w:tblCellMar>
          <w:left w:w="0" w:type="dxa"/>
          <w:right w:w="0" w:type="dxa"/>
        </w:tblCellMar>
        <w:tblLook w:val="04A0" w:firstRow="1" w:lastRow="0" w:firstColumn="1" w:lastColumn="0" w:noHBand="0" w:noVBand="1"/>
      </w:tblPr>
      <w:tblGrid>
        <w:gridCol w:w="2073"/>
        <w:gridCol w:w="7698"/>
      </w:tblGrid>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FFFFFF"/>
                <w:kern w:val="2"/>
                <w:sz w:val="22"/>
                <w:szCs w:val="22"/>
              </w:rPr>
              <w:t xml:space="preserve">Assumptions </w:t>
            </w:r>
          </w:p>
        </w:tc>
        <w:tc>
          <w:tcPr>
            <w:tcW w:w="7698"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FFFFFF"/>
                <w:kern w:val="2"/>
                <w:sz w:val="22"/>
                <w:szCs w:val="22"/>
              </w:rPr>
              <w:t>Value</w:t>
            </w:r>
            <w:r w:rsidRPr="006861E9">
              <w:rPr>
                <w:rFonts w:ascii="Times New Roman" w:hAnsi="Times New Roman" w:cs="Times New Roman"/>
                <w:color w:val="000000"/>
                <w:kern w:val="24"/>
                <w:sz w:val="22"/>
                <w:szCs w:val="22"/>
              </w:rPr>
              <w:t xml:space="preserve"> </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Carrier frequency</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4 GHz</w:t>
            </w:r>
          </w:p>
        </w:tc>
      </w:tr>
      <w:tr w:rsidR="008B7E3A" w:rsidRPr="00603E6F"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B7E3A" w:rsidRPr="006861E9" w:rsidRDefault="008B7E3A" w:rsidP="008B7E3A">
            <w:pPr>
              <w:spacing w:after="0"/>
              <w:ind w:firstLine="110"/>
              <w:rPr>
                <w:rFonts w:eastAsia="Times New Roman"/>
                <w:sz w:val="22"/>
                <w:szCs w:val="22"/>
                <w:lang w:val="fr-FR" w:eastAsia="fr-FR"/>
              </w:rPr>
            </w:pPr>
            <w:r>
              <w:rPr>
                <w:rFonts w:eastAsia="SimSun"/>
                <w:b/>
                <w:bCs/>
                <w:color w:val="000000"/>
                <w:kern w:val="2"/>
                <w:sz w:val="22"/>
                <w:szCs w:val="22"/>
                <w:lang w:eastAsia="fr-FR"/>
              </w:rPr>
              <w:t>Slot length</w:t>
            </w:r>
            <w:r w:rsidRPr="006861E9">
              <w:rPr>
                <w:rFonts w:eastAsia="SimSun"/>
                <w:b/>
                <w:bCs/>
                <w:color w:val="000000"/>
                <w:kern w:val="2"/>
                <w:sz w:val="22"/>
                <w:szCs w:val="22"/>
                <w:lang w:eastAsia="fr-FR"/>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03E6F" w:rsidRDefault="008B7E3A" w:rsidP="008B7E3A">
            <w:pPr>
              <w:spacing w:after="0"/>
              <w:rPr>
                <w:rFonts w:eastAsia="Times New Roman"/>
                <w:sz w:val="22"/>
                <w:szCs w:val="22"/>
                <w:lang w:eastAsia="fr-FR"/>
              </w:rPr>
            </w:pPr>
            <w:r>
              <w:rPr>
                <w:rFonts w:eastAsia="Times New Roman"/>
                <w:sz w:val="22"/>
                <w:szCs w:val="22"/>
                <w:lang w:eastAsia="fr-FR"/>
              </w:rPr>
              <w:t>14 DFTsOFDM symbols with NCP, 1ms</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System bandwidth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20MHz</w:t>
            </w:r>
          </w:p>
        </w:tc>
      </w:tr>
      <w:tr w:rsidR="008B7E3A" w:rsidRPr="0097058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4"/>
                <w:sz w:val="22"/>
                <w:szCs w:val="22"/>
              </w:rPr>
              <w:t xml:space="preserve">Data bandwidth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970589" w:rsidRDefault="008B7E3A" w:rsidP="008B7E3A">
            <w:pPr>
              <w:pStyle w:val="NormalWeb"/>
              <w:overflowPunct w:val="0"/>
              <w:spacing w:before="0" w:beforeAutospacing="0" w:after="0" w:afterAutospacing="0"/>
              <w:ind w:firstLine="110"/>
              <w:jc w:val="center"/>
              <w:rPr>
                <w:rFonts w:ascii="Times New Roman" w:hAnsi="Times New Roman" w:cs="Times New Roman"/>
                <w:color w:val="000000"/>
                <w:kern w:val="24"/>
                <w:sz w:val="22"/>
                <w:szCs w:val="22"/>
              </w:rPr>
            </w:pPr>
            <w:r>
              <w:rPr>
                <w:rFonts w:ascii="Times New Roman" w:hAnsi="Times New Roman" w:cs="Times New Roman"/>
                <w:color w:val="000000"/>
                <w:kern w:val="24"/>
                <w:sz w:val="22"/>
                <w:szCs w:val="22"/>
              </w:rPr>
              <w:t>1</w:t>
            </w:r>
            <w:r w:rsidRPr="006861E9">
              <w:rPr>
                <w:rFonts w:ascii="Times New Roman" w:hAnsi="Times New Roman" w:cs="Times New Roman"/>
                <w:color w:val="000000"/>
                <w:kern w:val="24"/>
                <w:sz w:val="22"/>
                <w:szCs w:val="22"/>
              </w:rPr>
              <w:t>PRBs (</w:t>
            </w:r>
            <w:r>
              <w:rPr>
                <w:rFonts w:ascii="Times New Roman" w:hAnsi="Times New Roman" w:cs="Times New Roman"/>
                <w:color w:val="000000"/>
                <w:kern w:val="24"/>
                <w:sz w:val="22"/>
                <w:szCs w:val="22"/>
              </w:rPr>
              <w:t>12</w:t>
            </w:r>
            <w:r w:rsidRPr="006861E9">
              <w:rPr>
                <w:rFonts w:ascii="Times New Roman" w:hAnsi="Times New Roman" w:cs="Times New Roman"/>
                <w:color w:val="000000"/>
                <w:kern w:val="24"/>
                <w:sz w:val="22"/>
                <w:szCs w:val="22"/>
              </w:rPr>
              <w:t xml:space="preserve"> subcarriers)</w:t>
            </w:r>
            <w:r>
              <w:rPr>
                <w:rFonts w:ascii="Times New Roman" w:hAnsi="Times New Roman" w:cs="Times New Roman"/>
                <w:color w:val="000000"/>
                <w:kern w:val="24"/>
                <w:sz w:val="22"/>
                <w:szCs w:val="22"/>
              </w:rPr>
              <w:t xml:space="preserve"> with frequency hopping</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Numerology</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jc w:val="center"/>
              <w:rPr>
                <w:rFonts w:ascii="Times New Roman" w:hAnsi="Times New Roman" w:cs="Times New Roman"/>
                <w:sz w:val="22"/>
                <w:szCs w:val="22"/>
              </w:rPr>
            </w:pPr>
            <w:r w:rsidRPr="006861E9">
              <w:rPr>
                <w:rFonts w:ascii="Times New Roman" w:hAnsi="Times New Roman" w:cs="Times New Roman"/>
                <w:sz w:val="22"/>
                <w:szCs w:val="22"/>
              </w:rPr>
              <w:t>Subcarrier spacing ∆f=</w:t>
            </w:r>
            <w:r>
              <w:rPr>
                <w:rFonts w:ascii="Times New Roman" w:hAnsi="Times New Roman" w:cs="Times New Roman"/>
                <w:sz w:val="22"/>
                <w:szCs w:val="22"/>
              </w:rPr>
              <w:t>15</w:t>
            </w:r>
            <w:r w:rsidRPr="006861E9">
              <w:rPr>
                <w:rFonts w:ascii="Times New Roman" w:hAnsi="Times New Roman" w:cs="Times New Roman"/>
                <w:sz w:val="22"/>
                <w:szCs w:val="22"/>
              </w:rPr>
              <w:t>kHz, N</w:t>
            </w:r>
            <w:r w:rsidRPr="006861E9">
              <w:rPr>
                <w:rFonts w:ascii="Times New Roman" w:hAnsi="Times New Roman" w:cs="Times New Roman"/>
                <w:sz w:val="22"/>
                <w:szCs w:val="22"/>
                <w:vertAlign w:val="subscript"/>
              </w:rPr>
              <w:t>IFFT</w:t>
            </w:r>
            <w:r w:rsidRPr="006861E9">
              <w:rPr>
                <w:rFonts w:ascii="Times New Roman" w:hAnsi="Times New Roman" w:cs="Times New Roman"/>
                <w:sz w:val="22"/>
                <w:szCs w:val="22"/>
              </w:rPr>
              <w:t>=</w:t>
            </w:r>
            <w:r>
              <w:rPr>
                <w:rFonts w:ascii="Times New Roman" w:hAnsi="Times New Roman" w:cs="Times New Roman"/>
                <w:sz w:val="22"/>
                <w:szCs w:val="22"/>
              </w:rPr>
              <w:t>2048</w:t>
            </w:r>
            <w:r w:rsidRPr="006861E9">
              <w:rPr>
                <w:rFonts w:ascii="Times New Roman" w:hAnsi="Times New Roman" w:cs="Times New Roman"/>
                <w:sz w:val="22"/>
                <w:szCs w:val="22"/>
              </w:rPr>
              <w:t>, Fs=</w:t>
            </w:r>
            <w:r>
              <w:rPr>
                <w:rFonts w:ascii="Times New Roman" w:hAnsi="Times New Roman" w:cs="Times New Roman"/>
                <w:sz w:val="22"/>
                <w:szCs w:val="22"/>
              </w:rPr>
              <w:t>30.72</w:t>
            </w:r>
            <w:r w:rsidRPr="006861E9">
              <w:rPr>
                <w:rFonts w:ascii="Times New Roman" w:hAnsi="Times New Roman" w:cs="Times New Roman"/>
                <w:sz w:val="22"/>
                <w:szCs w:val="22"/>
              </w:rPr>
              <w:t>MHz</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UE antenna model</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8B7E3A" w:rsidRPr="006861E9" w:rsidRDefault="008B7E3A" w:rsidP="008B7E3A">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2 Tx</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TRP antenna model</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8B7E3A" w:rsidRPr="006861E9" w:rsidRDefault="008B7E3A" w:rsidP="008B7E3A">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2 Rx</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Phase noise model</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Channel coding</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color w:val="000000"/>
                <w:kern w:val="2"/>
                <w:sz w:val="22"/>
                <w:szCs w:val="22"/>
                <w:lang w:val="pt-BR"/>
              </w:rPr>
              <w:t>LTE Turbo code</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HPA</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6E469E">
            <w:pPr>
              <w:pStyle w:val="NormalWeb"/>
              <w:spacing w:before="0" w:beforeAutospacing="0" w:after="0" w:afterAutospacing="0"/>
              <w:ind w:firstLine="110"/>
              <w:rPr>
                <w:rFonts w:ascii="Times New Roman" w:hAnsi="Times New Roman" w:cs="Times New Roman"/>
                <w:sz w:val="22"/>
                <w:szCs w:val="22"/>
              </w:rPr>
            </w:pPr>
            <w:r w:rsidRPr="007035F6">
              <w:rPr>
                <w:rFonts w:ascii="Times New Roman" w:hAnsi="Times New Roman" w:cs="Times New Roman"/>
                <w:color w:val="000000"/>
                <w:kern w:val="2"/>
                <w:sz w:val="22"/>
                <w:szCs w:val="22"/>
              </w:rPr>
              <w:t xml:space="preserve">Polynomial model for </w:t>
            </w:r>
            <w:r w:rsidR="006E469E">
              <w:rPr>
                <w:rFonts w:ascii="Times New Roman" w:hAnsi="Times New Roman" w:cs="Times New Roman"/>
                <w:color w:val="000000"/>
                <w:kern w:val="2"/>
                <w:sz w:val="22"/>
                <w:szCs w:val="22"/>
              </w:rPr>
              <w:t xml:space="preserve">UL </w:t>
            </w:r>
            <w:r w:rsidR="006E469E">
              <w:rPr>
                <w:rFonts w:ascii="Times New Roman" w:hAnsi="Times New Roman" w:cs="Times New Roman"/>
                <w:color w:val="000000"/>
                <w:kern w:val="2"/>
                <w:sz w:val="22"/>
                <w:szCs w:val="22"/>
              </w:rPr>
              <w:fldChar w:fldCharType="begin"/>
            </w:r>
            <w:r w:rsidR="006E469E">
              <w:rPr>
                <w:rFonts w:ascii="Times New Roman" w:hAnsi="Times New Roman" w:cs="Times New Roman"/>
                <w:color w:val="000000"/>
                <w:kern w:val="2"/>
                <w:sz w:val="22"/>
                <w:szCs w:val="22"/>
              </w:rPr>
              <w:instrText xml:space="preserve"> REF _Ref471402488 \r \h </w:instrText>
            </w:r>
            <w:r w:rsidR="006E469E">
              <w:rPr>
                <w:rFonts w:ascii="Times New Roman" w:hAnsi="Times New Roman" w:cs="Times New Roman"/>
                <w:color w:val="000000"/>
                <w:kern w:val="2"/>
                <w:sz w:val="22"/>
                <w:szCs w:val="22"/>
              </w:rPr>
            </w:r>
            <w:r w:rsidR="006E469E">
              <w:rPr>
                <w:rFonts w:ascii="Times New Roman" w:hAnsi="Times New Roman" w:cs="Times New Roman"/>
                <w:color w:val="000000"/>
                <w:kern w:val="2"/>
                <w:sz w:val="22"/>
                <w:szCs w:val="22"/>
              </w:rPr>
              <w:fldChar w:fldCharType="separate"/>
            </w:r>
            <w:r w:rsidR="00613794">
              <w:rPr>
                <w:rFonts w:ascii="Times New Roman" w:hAnsi="Times New Roman" w:cs="Times New Roman"/>
                <w:color w:val="000000"/>
                <w:kern w:val="2"/>
                <w:sz w:val="22"/>
                <w:szCs w:val="22"/>
              </w:rPr>
              <w:t>[7]</w:t>
            </w:r>
            <w:r w:rsidR="006E469E">
              <w:rPr>
                <w:rFonts w:ascii="Times New Roman" w:hAnsi="Times New Roman" w:cs="Times New Roman"/>
                <w:color w:val="000000"/>
                <w:kern w:val="2"/>
                <w:sz w:val="22"/>
                <w:szCs w:val="22"/>
              </w:rPr>
              <w:fldChar w:fldCharType="end"/>
            </w:r>
            <w:r w:rsidRPr="006D7135">
              <w:rPr>
                <w:rFonts w:ascii="Times New Roman" w:hAnsi="Times New Roman" w:cs="Times New Roman"/>
                <w:sz w:val="20"/>
                <w:szCs w:val="20"/>
              </w:rPr>
              <w:t>, IBO=-8dB</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MCS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QPSK1/2</w:t>
            </w:r>
            <w:r w:rsidR="00E03EB3">
              <w:rPr>
                <w:rFonts w:ascii="Times New Roman" w:hAnsi="Times New Roman" w:cs="Times New Roman"/>
                <w:sz w:val="22"/>
                <w:szCs w:val="22"/>
              </w:rPr>
              <w:t>, 3/4</w:t>
            </w:r>
            <w:r>
              <w:rPr>
                <w:rFonts w:ascii="Times New Roman" w:hAnsi="Times New Roman" w:cs="Times New Roman"/>
                <w:sz w:val="22"/>
                <w:szCs w:val="22"/>
              </w:rPr>
              <w:t xml:space="preserve"> </w:t>
            </w:r>
          </w:p>
        </w:tc>
      </w:tr>
      <w:tr w:rsidR="008B7E3A" w:rsidRPr="002E32EB" w:rsidTr="006E469E">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Channel estimation </w:t>
            </w:r>
          </w:p>
        </w:tc>
        <w:tc>
          <w:tcPr>
            <w:tcW w:w="76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rsidR="008B7E3A" w:rsidRPr="002E32EB" w:rsidRDefault="008B7E3A" w:rsidP="008B7E3A">
            <w:pPr>
              <w:pStyle w:val="NormalWeb"/>
              <w:overflowPunct w:val="0"/>
              <w:spacing w:before="0" w:beforeAutospacing="0" w:after="0" w:afterAutospacing="0"/>
              <w:ind w:firstLine="110"/>
              <w:jc w:val="left"/>
              <w:rPr>
                <w:rFonts w:ascii="Times New Roman" w:hAnsi="Times New Roman" w:cs="Times New Roman"/>
                <w:sz w:val="22"/>
                <w:szCs w:val="22"/>
              </w:rPr>
            </w:pPr>
            <w:r w:rsidRPr="006E469E">
              <w:rPr>
                <w:rFonts w:ascii="Times New Roman" w:hAnsi="Times New Roman" w:cs="Times New Roman"/>
                <w:sz w:val="22"/>
                <w:szCs w:val="22"/>
              </w:rPr>
              <w:t>Realistic, based on LTE-type pilots</w:t>
            </w:r>
          </w:p>
        </w:tc>
      </w:tr>
      <w:tr w:rsidR="008B7E3A" w:rsidRPr="002E32EB"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Channel model</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2E32EB" w:rsidRDefault="008B7E3A" w:rsidP="008B7E3A">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TDL-A 300ns</w:t>
            </w:r>
            <w:r w:rsidR="006D6BE0">
              <w:rPr>
                <w:rFonts w:ascii="Times New Roman" w:hAnsi="Times New Roman" w:cs="Times New Roman"/>
                <w:sz w:val="22"/>
                <w:szCs w:val="22"/>
              </w:rPr>
              <w:t>, 1000ns</w:t>
            </w:r>
          </w:p>
        </w:tc>
      </w:tr>
      <w:tr w:rsidR="008B7E3A"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Receiver type</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Default="008B7E3A" w:rsidP="008B7E3A">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L-MMSE</w:t>
            </w:r>
          </w:p>
        </w:tc>
      </w:tr>
      <w:tr w:rsidR="008B7E3A"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8B7E3A" w:rsidRDefault="006D6BE0" w:rsidP="006D6BE0">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 xml:space="preserve">SD/LD </w:t>
            </w:r>
            <w:r w:rsidR="008B7E3A">
              <w:rPr>
                <w:rFonts w:ascii="Times New Roman" w:hAnsi="Times New Roman" w:cs="Times New Roman"/>
                <w:b/>
                <w:bCs/>
                <w:color w:val="000000"/>
                <w:kern w:val="2"/>
                <w:sz w:val="22"/>
                <w:szCs w:val="22"/>
              </w:rPr>
              <w:t>CDD delay</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Default="008B7E3A" w:rsidP="008B7E3A">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64 samples</w:t>
            </w:r>
            <w:r w:rsidR="006D6BE0">
              <w:rPr>
                <w:rFonts w:ascii="Times New Roman" w:hAnsi="Times New Roman" w:cs="Times New Roman"/>
                <w:sz w:val="22"/>
                <w:szCs w:val="22"/>
              </w:rPr>
              <w:t>/ ½ OFDM symbol</w:t>
            </w:r>
          </w:p>
        </w:tc>
      </w:tr>
    </w:tbl>
    <w:p w:rsidR="008B7E3A" w:rsidRDefault="008B7E3A" w:rsidP="00F91D30"/>
    <w:p w:rsidR="008B7E3A" w:rsidRDefault="008B7E3A" w:rsidP="00F91D30">
      <w:r>
        <w:lastRenderedPageBreak/>
        <w:t xml:space="preserve">As shown in </w:t>
      </w:r>
      <w:r>
        <w:fldChar w:fldCharType="begin"/>
      </w:r>
      <w:r>
        <w:instrText xml:space="preserve"> REF _Ref473758543 \r \h </w:instrText>
      </w:r>
      <w:r>
        <w:fldChar w:fldCharType="separate"/>
      </w:r>
      <w:r w:rsidR="00613794">
        <w:t>[5]</w:t>
      </w:r>
      <w:r>
        <w:fldChar w:fldCharType="end"/>
      </w:r>
      <w:r>
        <w:t>, for higher bands transmit diversity schemes can be combined with analog beamforming as long as we are able to define two DM-RS antenna ports serving as support for 2Tx transmit diversity.</w:t>
      </w:r>
      <w:r w:rsidR="002E4AD1">
        <w:t xml:space="preserve"> FSTD can further be applied on top of the presented techniques to extend to 4Tx antennas.</w:t>
      </w:r>
    </w:p>
    <w:p w:rsidR="009E2F98" w:rsidRDefault="00842DBA" w:rsidP="00842DBA">
      <w:r>
        <w:t xml:space="preserve">SFBC is only given as a FER performance reference and is not proposed to be used for DFTsOFDM </w:t>
      </w:r>
      <w:r w:rsidR="008B7E3A">
        <w:t xml:space="preserve">long PUCCH </w:t>
      </w:r>
      <w:r>
        <w:t>as it engenders around 1dB PAPR loss at CCDF target 10</w:t>
      </w:r>
      <w:r w:rsidRPr="002B1EB3">
        <w:rPr>
          <w:vertAlign w:val="superscript"/>
        </w:rPr>
        <w:t>-4</w:t>
      </w:r>
      <w:r>
        <w:t xml:space="preserve">. </w:t>
      </w:r>
    </w:p>
    <w:p w:rsidR="00EA5187" w:rsidRDefault="00EA5187" w:rsidP="00EA5187">
      <w:r w:rsidRPr="00333EAF">
        <w:fldChar w:fldCharType="begin"/>
      </w:r>
      <w:r w:rsidRPr="00333EAF">
        <w:instrText xml:space="preserve"> REF _Ref471405472 \h </w:instrText>
      </w:r>
      <w:r>
        <w:instrText xml:space="preserve"> \* MERGEFORMAT </w:instrText>
      </w:r>
      <w:r w:rsidRPr="00333EAF">
        <w:fldChar w:fldCharType="separate"/>
      </w:r>
      <w:r w:rsidRPr="00333EAF">
        <w:t xml:space="preserve">Figure </w:t>
      </w:r>
      <w:r>
        <w:rPr>
          <w:noProof/>
        </w:rPr>
        <w:t>7</w:t>
      </w:r>
      <w:r w:rsidRPr="00333EAF">
        <w:fldChar w:fldCharType="end"/>
      </w:r>
      <w:r w:rsidRPr="00333EAF">
        <w:t xml:space="preserve"> </w:t>
      </w:r>
      <w:r>
        <w:t xml:space="preserve">and </w:t>
      </w:r>
      <w:r>
        <w:fldChar w:fldCharType="begin"/>
      </w:r>
      <w:r>
        <w:instrText xml:space="preserve"> REF _Ref481680397 \h </w:instrText>
      </w:r>
      <w:r>
        <w:fldChar w:fldCharType="separate"/>
      </w:r>
      <w:r w:rsidRPr="00333EAF">
        <w:t xml:space="preserve">Figure </w:t>
      </w:r>
      <w:r>
        <w:rPr>
          <w:noProof/>
        </w:rPr>
        <w:t>8</w:t>
      </w:r>
      <w:r>
        <w:fldChar w:fldCharType="end"/>
      </w:r>
      <w:r>
        <w:t xml:space="preserve"> </w:t>
      </w:r>
      <w:r w:rsidRPr="00333EAF">
        <w:t>present c</w:t>
      </w:r>
      <w:r>
        <w:t xml:space="preserve">omparative performance of </w:t>
      </w:r>
      <w:r w:rsidRPr="006E469E">
        <w:t>SFBC,</w:t>
      </w:r>
      <w:r>
        <w:t xml:space="preserve"> SC-SFBC</w:t>
      </w:r>
      <w:r w:rsidRPr="006E469E">
        <w:t xml:space="preserve">, </w:t>
      </w:r>
      <w:r>
        <w:t xml:space="preserve">SS-STBC, SD-CDD, LD-CDD </w:t>
      </w:r>
      <w:r w:rsidRPr="006E469E">
        <w:t>and SIMO transmission</w:t>
      </w:r>
      <w:r>
        <w:t xml:space="preserve"> for long PUCCH with DFTsOFDM. SS-STBC was evaluated in two configurations: no prefix/postfix (0% overhead) and sufficient prefix/postfix (dimensioned to absorb the same amount of multipath as the CP; </w:t>
      </w:r>
      <w:r w:rsidR="00772C1F">
        <w:t>1</w:t>
      </w:r>
      <w:r>
        <w:t xml:space="preserve"> symbols of prefix/1 symbol of postfix were inserted, leading to </w:t>
      </w:r>
      <w:r w:rsidR="00772C1F">
        <w:t>33</w:t>
      </w:r>
      <w:r>
        <w:t>% overhead).</w:t>
      </w:r>
    </w:p>
    <w:p w:rsidR="00EA5187" w:rsidRDefault="00EA5187" w:rsidP="00EA5187">
      <w:r w:rsidRPr="005B2DDF">
        <w:rPr>
          <w:i/>
        </w:rPr>
        <w:t>Full diversity Alamouti schemes are more robust than CDD</w:t>
      </w:r>
      <w:r>
        <w:t>, even with the current sub-optimal L-MMSE decoder.</w:t>
      </w:r>
    </w:p>
    <w:p w:rsidR="00EA5187" w:rsidRDefault="00EA5187" w:rsidP="00EA5187">
      <w:r w:rsidRPr="0032599E">
        <w:t>CDD is easy to implement and can be transparent to the receiver in the case of short delay CDD.</w:t>
      </w:r>
      <w:r>
        <w:t xml:space="preserve"> </w:t>
      </w:r>
      <w:r w:rsidRPr="006C6CA0">
        <w:t xml:space="preserve">Nevertheless, CDD has </w:t>
      </w:r>
      <w:r>
        <w:t xml:space="preserve">very </w:t>
      </w:r>
      <w:r w:rsidRPr="006C6CA0">
        <w:t xml:space="preserve">variable performance </w:t>
      </w:r>
      <w:r>
        <w:t>depending on the applied</w:t>
      </w:r>
      <w:r w:rsidRPr="006C6CA0">
        <w:t xml:space="preserve"> delay</w:t>
      </w:r>
      <w:r>
        <w:t xml:space="preserve">, and an optimized delay (depending on the channel profile, allocation size, modcod) cannot be applied in an open loop scenario. </w:t>
      </w:r>
      <w:r w:rsidRPr="006C6CA0">
        <w:t xml:space="preserve">Also, </w:t>
      </w:r>
      <w:r>
        <w:t xml:space="preserve">since CDD recovers frequency diversity through coding, </w:t>
      </w:r>
      <w:r w:rsidRPr="006C6CA0">
        <w:t xml:space="preserve">CDD performance </w:t>
      </w:r>
      <w:r>
        <w:t xml:space="preserve">depends on the coding rate and tends to degrade in scenarios where enough diversity is already present (frequency selective channels/frequency hopping transmission where the extra diversity obtained through CDD is limited, high speed where the extra diversity wrt to already present time diversity has limited gain, etc). </w:t>
      </w:r>
    </w:p>
    <w:p w:rsidR="00EA5187" w:rsidRDefault="00EA5187" w:rsidP="00EA5187">
      <w:r>
        <w:t>Even in highly selective environments, where SC-SFBC may slightly suffer from precoding onto distant subcarriers susceptible of having different channel realizations, t</w:t>
      </w:r>
      <w:r w:rsidRPr="007035F6">
        <w:t>he PAPR preserving SC-SFBC matches the FER performance of SFBC</w:t>
      </w:r>
      <w:r>
        <w:t xml:space="preserve">. Since PUCCH allocations are rather </w:t>
      </w:r>
      <w:r w:rsidR="000B481B">
        <w:t>narrowband</w:t>
      </w:r>
      <w:r>
        <w:t>, there is no loss due to precoding on distant subcarriers.</w:t>
      </w:r>
    </w:p>
    <w:p w:rsidR="00EA5187" w:rsidRDefault="00EA5187" w:rsidP="00EA5187">
      <w:r w:rsidRPr="005B2DDF">
        <w:rPr>
          <w:i/>
        </w:rPr>
        <w:t>The PAPR preserving SC-SFBC matches the FER performance of SFBC without any PAPR loss and is thus preferred to SFBC</w:t>
      </w:r>
      <w:r>
        <w:t xml:space="preserve">. </w:t>
      </w:r>
      <w:r w:rsidRPr="005B2DDF">
        <w:rPr>
          <w:i/>
        </w:rPr>
        <w:t>SC-SFBC outperforms SFBC when taking into account FER performance and PAPR performance.</w:t>
      </w:r>
    </w:p>
    <w:p w:rsidR="00C80102" w:rsidRDefault="00772C1F" w:rsidP="00842DBA">
      <w:r>
        <w:t xml:space="preserve">With </w:t>
      </w:r>
      <w:r w:rsidR="000B481B">
        <w:t>narrowband</w:t>
      </w:r>
      <w:r>
        <w:t xml:space="preserve"> frequency domain allocations as it is the case in PUCCH transmission, </w:t>
      </w:r>
      <w:r w:rsidRPr="00772C1F">
        <w:rPr>
          <w:i/>
        </w:rPr>
        <w:t>SS-STBC is more sensitive to long delay spreads than SC-SFBC</w:t>
      </w:r>
      <w:r>
        <w:t xml:space="preserve">. Cyclic prefix/postfix insertion to reduce the interference between the two symbol halves is particularly costly with </w:t>
      </w:r>
      <w:r w:rsidR="000B481B">
        <w:t>narrowband</w:t>
      </w:r>
      <w:r>
        <w:t xml:space="preserve"> allocations: inserting one single sample of prefix and one of postfix within an allocation of 1 RB already leads to 33.3% of overhead. With very long delay spreads (e.g. 1000ns), even this excessive overhead turns out insufficient. </w:t>
      </w:r>
    </w:p>
    <w:p w:rsidR="00772C1F" w:rsidRDefault="009F21E6" w:rsidP="00842DBA">
      <w:r>
        <w:fldChar w:fldCharType="begin"/>
      </w:r>
      <w:r>
        <w:instrText xml:space="preserve"> REF _Ref481683412 \h </w:instrText>
      </w:r>
      <w:r>
        <w:fldChar w:fldCharType="separate"/>
      </w:r>
      <w:r>
        <w:t xml:space="preserve">Table </w:t>
      </w:r>
      <w:r>
        <w:rPr>
          <w:noProof/>
        </w:rPr>
        <w:t>1</w:t>
      </w:r>
      <w:r>
        <w:fldChar w:fldCharType="end"/>
      </w:r>
      <w:r>
        <w:t xml:space="preserve"> and </w:t>
      </w:r>
      <w:r>
        <w:fldChar w:fldCharType="begin"/>
      </w:r>
      <w:r>
        <w:instrText xml:space="preserve"> REF _Ref481683415 \h </w:instrText>
      </w:r>
      <w:r>
        <w:fldChar w:fldCharType="separate"/>
      </w:r>
      <w:r>
        <w:t xml:space="preserve">Table </w:t>
      </w:r>
      <w:r>
        <w:rPr>
          <w:noProof/>
        </w:rPr>
        <w:t>2</w:t>
      </w:r>
      <w:r>
        <w:fldChar w:fldCharType="end"/>
      </w:r>
      <w:r>
        <w:t xml:space="preserve"> summarize the performance gap of different schemes </w:t>
      </w:r>
      <w:r w:rsidR="0051694C">
        <w:t xml:space="preserve">with respect to SFBC. Alamouti schemes perform better than their counterparts on all types of investigated channels. Although on low/medium delay spread channels SC-SFBC and SS-STBC have similar performance, on long delay spread channels with </w:t>
      </w:r>
      <w:r w:rsidR="000B481B">
        <w:t>narrowband</w:t>
      </w:r>
      <w:bookmarkStart w:id="6" w:name="_GoBack"/>
      <w:bookmarkEnd w:id="6"/>
      <w:r w:rsidR="0051694C">
        <w:t xml:space="preserve"> frequency domain allocations SC-SFBC outperforms SS-STBC.</w:t>
      </w:r>
    </w:p>
    <w:p w:rsidR="007035F6" w:rsidRDefault="00772C1F" w:rsidP="00333EAF">
      <w:pPr>
        <w:jc w:val="center"/>
      </w:pPr>
      <w:r w:rsidRPr="00772C1F">
        <w:rPr>
          <w:noProof/>
          <w:lang w:val="fr-FR" w:eastAsia="fr-FR"/>
        </w:rPr>
        <w:lastRenderedPageBreak/>
        <w:drawing>
          <wp:inline distT="0" distB="0" distL="0" distR="0">
            <wp:extent cx="5652000" cy="37872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652000" cy="3787200"/>
                    </a:xfrm>
                    <a:prstGeom prst="rect">
                      <a:avLst/>
                    </a:prstGeom>
                    <a:noFill/>
                    <a:ln>
                      <a:noFill/>
                    </a:ln>
                  </pic:spPr>
                </pic:pic>
              </a:graphicData>
            </a:graphic>
          </wp:inline>
        </w:drawing>
      </w:r>
    </w:p>
    <w:p w:rsidR="001D3A4E" w:rsidRDefault="001D3A4E" w:rsidP="001D3A4E">
      <w:pPr>
        <w:pStyle w:val="Lgende"/>
        <w:jc w:val="center"/>
      </w:pPr>
      <w:bookmarkStart w:id="7" w:name="_Ref471405472"/>
      <w:r w:rsidRPr="00333EAF">
        <w:t xml:space="preserve">Figure </w:t>
      </w:r>
      <w:fldSimple w:instr=" SEQ Figure \* ARABIC ">
        <w:r w:rsidR="00613794">
          <w:rPr>
            <w:noProof/>
          </w:rPr>
          <w:t>7</w:t>
        </w:r>
      </w:fldSimple>
      <w:bookmarkEnd w:id="7"/>
      <w:r w:rsidRPr="00333EAF">
        <w:t xml:space="preserve"> - Fc=4GHz, TDL-A 30</w:t>
      </w:r>
      <w:r w:rsidR="007035F6" w:rsidRPr="00333EAF">
        <w:t>0</w:t>
      </w:r>
      <w:r w:rsidRPr="00333EAF">
        <w:t xml:space="preserve">ns, 3kmph, real channel estimation, </w:t>
      </w:r>
      <w:r w:rsidR="007035F6" w:rsidRPr="00333EAF">
        <w:t>1</w:t>
      </w:r>
      <w:r w:rsidRPr="00333EAF">
        <w:t>RB</w:t>
      </w:r>
      <w:r w:rsidR="007035F6" w:rsidRPr="00333EAF">
        <w:t xml:space="preserve"> with frequency hopping</w:t>
      </w:r>
      <w:r w:rsidR="0007135A" w:rsidRPr="00333EAF">
        <w:t xml:space="preserve">, </w:t>
      </w:r>
      <w:r w:rsidR="00333EAF" w:rsidRPr="00333EAF">
        <w:t>LTE-type</w:t>
      </w:r>
      <w:r w:rsidR="0007135A" w:rsidRPr="00333EAF">
        <w:t xml:space="preserve"> pilot</w:t>
      </w:r>
      <w:r w:rsidR="00333EAF" w:rsidRPr="00333EAF">
        <w:t>s</w:t>
      </w:r>
      <w:r w:rsidR="00AC3A8B">
        <w:t>, QPSK</w:t>
      </w:r>
    </w:p>
    <w:p w:rsidR="0007135A" w:rsidRPr="0007135A" w:rsidRDefault="0007135A" w:rsidP="0007135A"/>
    <w:p w:rsidR="00FF1D59" w:rsidRDefault="00772C1F" w:rsidP="00296B19">
      <w:pPr>
        <w:pStyle w:val="Lgende"/>
        <w:jc w:val="center"/>
      </w:pPr>
      <w:r w:rsidRPr="00772C1F">
        <w:rPr>
          <w:noProof/>
          <w:lang w:val="fr-FR" w:eastAsia="fr-FR"/>
        </w:rPr>
        <w:drawing>
          <wp:inline distT="0" distB="0" distL="0" distR="0">
            <wp:extent cx="5655600" cy="37872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655600" cy="3787200"/>
                    </a:xfrm>
                    <a:prstGeom prst="rect">
                      <a:avLst/>
                    </a:prstGeom>
                    <a:noFill/>
                    <a:ln>
                      <a:noFill/>
                    </a:ln>
                  </pic:spPr>
                </pic:pic>
              </a:graphicData>
            </a:graphic>
          </wp:inline>
        </w:drawing>
      </w:r>
    </w:p>
    <w:p w:rsidR="00E03EB3" w:rsidRDefault="00E03EB3" w:rsidP="00E03EB3">
      <w:pPr>
        <w:pStyle w:val="Lgende"/>
        <w:jc w:val="center"/>
      </w:pPr>
      <w:bookmarkStart w:id="8" w:name="_Ref481680397"/>
      <w:r w:rsidRPr="00333EAF">
        <w:t xml:space="preserve">Figure </w:t>
      </w:r>
      <w:fldSimple w:instr=" SEQ Figure \* ARABIC ">
        <w:r w:rsidR="00613794">
          <w:rPr>
            <w:noProof/>
          </w:rPr>
          <w:t>8</w:t>
        </w:r>
      </w:fldSimple>
      <w:bookmarkEnd w:id="8"/>
      <w:r w:rsidRPr="00333EAF">
        <w:t xml:space="preserve"> - Fc=4GHz, TDL-A </w:t>
      </w:r>
      <w:r w:rsidR="00AC3A8B">
        <w:t>10</w:t>
      </w:r>
      <w:r w:rsidRPr="00333EAF">
        <w:t>00ns, 3kmph, real channel estimation, 1RB with frequency hopping, LTE-type pilots</w:t>
      </w:r>
      <w:r w:rsidR="00AC3A8B">
        <w:t>, QPSK</w:t>
      </w:r>
    </w:p>
    <w:p w:rsidR="00EA5187" w:rsidRDefault="00EA5187" w:rsidP="00EA5187"/>
    <w:p w:rsidR="00333EAF" w:rsidRDefault="00333EAF" w:rsidP="009C396F"/>
    <w:p w:rsidR="006D6BE0" w:rsidRDefault="006D6BE0" w:rsidP="006D6BE0">
      <w:pPr>
        <w:pStyle w:val="Lgende"/>
        <w:keepNext/>
      </w:pPr>
      <w:bookmarkStart w:id="9" w:name="_Ref481683412"/>
      <w:r>
        <w:t xml:space="preserve">Table </w:t>
      </w:r>
      <w:fldSimple w:instr=" SEQ Table \* ARABIC ">
        <w:r w:rsidR="00613794">
          <w:rPr>
            <w:noProof/>
          </w:rPr>
          <w:t>1</w:t>
        </w:r>
      </w:fldSimple>
      <w:bookmarkEnd w:id="9"/>
      <w:r>
        <w:t xml:space="preserve"> – SNR Performance loss wrt SFBC for QPSK ½ @FER=10</w:t>
      </w:r>
      <w:r w:rsidRPr="006D6BE0">
        <w:rPr>
          <w:vertAlign w:val="superscript"/>
        </w:rPr>
        <w:t>-3</w:t>
      </w:r>
      <w:r>
        <w:t xml:space="preserve"> </w:t>
      </w:r>
    </w:p>
    <w:tbl>
      <w:tblPr>
        <w:tblStyle w:val="Grilledutableau"/>
        <w:tblW w:w="0" w:type="auto"/>
        <w:tblLook w:val="04A0" w:firstRow="1" w:lastRow="0" w:firstColumn="1" w:lastColumn="0" w:noHBand="0" w:noVBand="1"/>
      </w:tblPr>
      <w:tblGrid>
        <w:gridCol w:w="1413"/>
        <w:gridCol w:w="1709"/>
        <w:gridCol w:w="1710"/>
        <w:gridCol w:w="1710"/>
        <w:gridCol w:w="1710"/>
        <w:gridCol w:w="1710"/>
      </w:tblGrid>
      <w:tr w:rsidR="006D6BE0" w:rsidTr="0051694C">
        <w:tc>
          <w:tcPr>
            <w:tcW w:w="1413" w:type="dxa"/>
            <w:shd w:val="clear" w:color="auto" w:fill="D9D9D9" w:themeFill="background1" w:themeFillShade="D9"/>
          </w:tcPr>
          <w:p w:rsidR="006D6BE0" w:rsidRDefault="006D6BE0" w:rsidP="006D6BE0">
            <w:pPr>
              <w:jc w:val="center"/>
            </w:pPr>
            <w:r>
              <w:t>TDL-A</w:t>
            </w:r>
          </w:p>
        </w:tc>
        <w:tc>
          <w:tcPr>
            <w:tcW w:w="1709" w:type="dxa"/>
            <w:shd w:val="clear" w:color="auto" w:fill="D9D9D9" w:themeFill="background1" w:themeFillShade="D9"/>
          </w:tcPr>
          <w:p w:rsidR="006D6BE0" w:rsidRDefault="006D6BE0" w:rsidP="006D6BE0">
            <w:pPr>
              <w:jc w:val="center"/>
            </w:pPr>
            <w:r>
              <w:t>SC-SFBC</w:t>
            </w:r>
          </w:p>
        </w:tc>
        <w:tc>
          <w:tcPr>
            <w:tcW w:w="1710" w:type="dxa"/>
            <w:shd w:val="clear" w:color="auto" w:fill="D9D9D9" w:themeFill="background1" w:themeFillShade="D9"/>
          </w:tcPr>
          <w:p w:rsidR="006D6BE0" w:rsidRDefault="006D6BE0" w:rsidP="006D6BE0">
            <w:pPr>
              <w:jc w:val="center"/>
            </w:pPr>
            <w:r>
              <w:t>SS-STBC 0%</w:t>
            </w:r>
          </w:p>
        </w:tc>
        <w:tc>
          <w:tcPr>
            <w:tcW w:w="1710" w:type="dxa"/>
            <w:shd w:val="clear" w:color="auto" w:fill="D9D9D9" w:themeFill="background1" w:themeFillShade="D9"/>
          </w:tcPr>
          <w:p w:rsidR="006D6BE0" w:rsidRDefault="006D6BE0" w:rsidP="0051694C">
            <w:pPr>
              <w:jc w:val="center"/>
            </w:pPr>
            <w:r>
              <w:t xml:space="preserve">SS-STBC </w:t>
            </w:r>
            <w:r w:rsidR="0051694C">
              <w:t>33</w:t>
            </w:r>
            <w:r>
              <w:t>%</w:t>
            </w:r>
          </w:p>
        </w:tc>
        <w:tc>
          <w:tcPr>
            <w:tcW w:w="1710" w:type="dxa"/>
            <w:shd w:val="clear" w:color="auto" w:fill="D9D9D9" w:themeFill="background1" w:themeFillShade="D9"/>
          </w:tcPr>
          <w:p w:rsidR="006D6BE0" w:rsidRDefault="006D6BE0" w:rsidP="006D6BE0">
            <w:pPr>
              <w:jc w:val="center"/>
            </w:pPr>
            <w:r>
              <w:t>SD-CDD</w:t>
            </w:r>
          </w:p>
        </w:tc>
        <w:tc>
          <w:tcPr>
            <w:tcW w:w="1710" w:type="dxa"/>
            <w:shd w:val="clear" w:color="auto" w:fill="D9D9D9" w:themeFill="background1" w:themeFillShade="D9"/>
          </w:tcPr>
          <w:p w:rsidR="006D6BE0" w:rsidRDefault="006D6BE0" w:rsidP="006D6BE0">
            <w:pPr>
              <w:jc w:val="center"/>
            </w:pPr>
            <w:r>
              <w:t>LD-CDD</w:t>
            </w:r>
          </w:p>
        </w:tc>
      </w:tr>
      <w:tr w:rsidR="006D6BE0" w:rsidTr="0051694C">
        <w:tc>
          <w:tcPr>
            <w:tcW w:w="1413" w:type="dxa"/>
            <w:shd w:val="clear" w:color="auto" w:fill="D9D9D9" w:themeFill="background1" w:themeFillShade="D9"/>
          </w:tcPr>
          <w:p w:rsidR="006D6BE0" w:rsidRDefault="006D6BE0" w:rsidP="006D6BE0">
            <w:pPr>
              <w:jc w:val="center"/>
            </w:pPr>
            <w:r>
              <w:t>300ns</w:t>
            </w:r>
          </w:p>
        </w:tc>
        <w:tc>
          <w:tcPr>
            <w:tcW w:w="1709" w:type="dxa"/>
          </w:tcPr>
          <w:p w:rsidR="006D6BE0" w:rsidRPr="006D6BE0" w:rsidRDefault="006D6BE0" w:rsidP="006D6BE0">
            <w:pPr>
              <w:jc w:val="center"/>
              <w:rPr>
                <w:highlight w:val="green"/>
              </w:rPr>
            </w:pPr>
            <w:r w:rsidRPr="006D6BE0">
              <w:rPr>
                <w:highlight w:val="green"/>
              </w:rPr>
              <w:t>0 dB</w:t>
            </w:r>
          </w:p>
        </w:tc>
        <w:tc>
          <w:tcPr>
            <w:tcW w:w="1710" w:type="dxa"/>
          </w:tcPr>
          <w:p w:rsidR="006D6BE0" w:rsidRPr="006D6BE0" w:rsidRDefault="006D6BE0" w:rsidP="006D6BE0">
            <w:pPr>
              <w:jc w:val="center"/>
              <w:rPr>
                <w:highlight w:val="green"/>
              </w:rPr>
            </w:pPr>
            <w:r w:rsidRPr="006D6BE0">
              <w:rPr>
                <w:highlight w:val="green"/>
              </w:rPr>
              <w:t>0 dB</w:t>
            </w:r>
          </w:p>
        </w:tc>
        <w:tc>
          <w:tcPr>
            <w:tcW w:w="1710" w:type="dxa"/>
          </w:tcPr>
          <w:p w:rsidR="006D6BE0" w:rsidRPr="006D6BE0" w:rsidRDefault="006D6BE0" w:rsidP="006D6BE0">
            <w:pPr>
              <w:jc w:val="center"/>
              <w:rPr>
                <w:highlight w:val="green"/>
              </w:rPr>
            </w:pPr>
            <w:r w:rsidRPr="006D6BE0">
              <w:rPr>
                <w:highlight w:val="green"/>
              </w:rPr>
              <w:t>0 dB</w:t>
            </w:r>
          </w:p>
        </w:tc>
        <w:tc>
          <w:tcPr>
            <w:tcW w:w="1710" w:type="dxa"/>
          </w:tcPr>
          <w:p w:rsidR="006D6BE0" w:rsidRDefault="006D6BE0" w:rsidP="006D6BE0">
            <w:pPr>
              <w:jc w:val="center"/>
            </w:pPr>
            <w:r w:rsidRPr="006D6BE0">
              <w:rPr>
                <w:highlight w:val="red"/>
              </w:rPr>
              <w:t>0.5 dB</w:t>
            </w:r>
          </w:p>
        </w:tc>
        <w:tc>
          <w:tcPr>
            <w:tcW w:w="1710" w:type="dxa"/>
          </w:tcPr>
          <w:p w:rsidR="006D6BE0" w:rsidRDefault="006D6BE0" w:rsidP="006D6BE0">
            <w:pPr>
              <w:jc w:val="center"/>
            </w:pPr>
            <w:r w:rsidRPr="006D6BE0">
              <w:rPr>
                <w:highlight w:val="red"/>
              </w:rPr>
              <w:t>1.5 dB</w:t>
            </w:r>
          </w:p>
        </w:tc>
      </w:tr>
      <w:tr w:rsidR="006D6BE0" w:rsidTr="0051694C">
        <w:tc>
          <w:tcPr>
            <w:tcW w:w="1413" w:type="dxa"/>
            <w:shd w:val="clear" w:color="auto" w:fill="D9D9D9" w:themeFill="background1" w:themeFillShade="D9"/>
          </w:tcPr>
          <w:p w:rsidR="006D6BE0" w:rsidRDefault="006D6BE0" w:rsidP="006D6BE0">
            <w:pPr>
              <w:jc w:val="center"/>
            </w:pPr>
            <w:r>
              <w:t>1000ns</w:t>
            </w:r>
          </w:p>
        </w:tc>
        <w:tc>
          <w:tcPr>
            <w:tcW w:w="1709" w:type="dxa"/>
          </w:tcPr>
          <w:p w:rsidR="006D6BE0" w:rsidRDefault="006D6BE0" w:rsidP="006D6BE0">
            <w:pPr>
              <w:jc w:val="center"/>
            </w:pPr>
            <w:r w:rsidRPr="006D6BE0">
              <w:rPr>
                <w:highlight w:val="green"/>
              </w:rPr>
              <w:t>0.09 dB</w:t>
            </w:r>
          </w:p>
        </w:tc>
        <w:tc>
          <w:tcPr>
            <w:tcW w:w="1710" w:type="dxa"/>
          </w:tcPr>
          <w:p w:rsidR="006D6BE0" w:rsidRDefault="006D6BE0" w:rsidP="006D6BE0">
            <w:pPr>
              <w:jc w:val="center"/>
            </w:pPr>
            <w:r w:rsidRPr="006D6BE0">
              <w:rPr>
                <w:highlight w:val="red"/>
              </w:rPr>
              <w:t>0.85 dB</w:t>
            </w:r>
          </w:p>
        </w:tc>
        <w:tc>
          <w:tcPr>
            <w:tcW w:w="1710" w:type="dxa"/>
          </w:tcPr>
          <w:p w:rsidR="006D6BE0" w:rsidRDefault="006D6BE0" w:rsidP="006D6BE0">
            <w:pPr>
              <w:jc w:val="center"/>
            </w:pPr>
            <w:r w:rsidRPr="006D6BE0">
              <w:rPr>
                <w:highlight w:val="green"/>
              </w:rPr>
              <w:t>0.37 dB</w:t>
            </w:r>
          </w:p>
        </w:tc>
        <w:tc>
          <w:tcPr>
            <w:tcW w:w="1710" w:type="dxa"/>
          </w:tcPr>
          <w:p w:rsidR="006D6BE0" w:rsidRPr="006D6BE0" w:rsidRDefault="006D6BE0" w:rsidP="006D6BE0">
            <w:pPr>
              <w:jc w:val="center"/>
              <w:rPr>
                <w:highlight w:val="red"/>
              </w:rPr>
            </w:pPr>
            <w:r w:rsidRPr="006D6BE0">
              <w:rPr>
                <w:highlight w:val="red"/>
              </w:rPr>
              <w:t>1.35 dB</w:t>
            </w:r>
          </w:p>
        </w:tc>
        <w:tc>
          <w:tcPr>
            <w:tcW w:w="1710" w:type="dxa"/>
          </w:tcPr>
          <w:p w:rsidR="006D6BE0" w:rsidRPr="006D6BE0" w:rsidRDefault="006D6BE0" w:rsidP="006D6BE0">
            <w:pPr>
              <w:jc w:val="center"/>
              <w:rPr>
                <w:highlight w:val="red"/>
              </w:rPr>
            </w:pPr>
            <w:r w:rsidRPr="006D6BE0">
              <w:rPr>
                <w:highlight w:val="red"/>
              </w:rPr>
              <w:t>1.12 dB</w:t>
            </w:r>
          </w:p>
        </w:tc>
      </w:tr>
    </w:tbl>
    <w:p w:rsidR="006D6BE0" w:rsidRDefault="006D6BE0" w:rsidP="009C396F"/>
    <w:p w:rsidR="006D6BE0" w:rsidRDefault="006D6BE0" w:rsidP="006D6BE0">
      <w:pPr>
        <w:pStyle w:val="Lgende"/>
        <w:keepNext/>
      </w:pPr>
      <w:bookmarkStart w:id="10" w:name="_Ref481683415"/>
      <w:r>
        <w:t xml:space="preserve">Table </w:t>
      </w:r>
      <w:fldSimple w:instr=" SEQ Table \* ARABIC ">
        <w:r w:rsidR="00613794">
          <w:rPr>
            <w:noProof/>
          </w:rPr>
          <w:t>2</w:t>
        </w:r>
      </w:fldSimple>
      <w:bookmarkEnd w:id="10"/>
      <w:r w:rsidR="000C7B67">
        <w:t xml:space="preserve"> - SNR Performance loss wrt SFBC for QPSK ¾ @FER=10</w:t>
      </w:r>
      <w:r w:rsidR="000C7B67" w:rsidRPr="006D6BE0">
        <w:rPr>
          <w:vertAlign w:val="superscript"/>
        </w:rPr>
        <w:t>-3</w:t>
      </w:r>
    </w:p>
    <w:tbl>
      <w:tblPr>
        <w:tblStyle w:val="Grilledutableau"/>
        <w:tblW w:w="0" w:type="auto"/>
        <w:tblLook w:val="04A0" w:firstRow="1" w:lastRow="0" w:firstColumn="1" w:lastColumn="0" w:noHBand="0" w:noVBand="1"/>
      </w:tblPr>
      <w:tblGrid>
        <w:gridCol w:w="1413"/>
        <w:gridCol w:w="1709"/>
        <w:gridCol w:w="1710"/>
        <w:gridCol w:w="1710"/>
        <w:gridCol w:w="1710"/>
        <w:gridCol w:w="1710"/>
      </w:tblGrid>
      <w:tr w:rsidR="006D6BE0" w:rsidTr="0051694C">
        <w:tc>
          <w:tcPr>
            <w:tcW w:w="1413" w:type="dxa"/>
            <w:shd w:val="clear" w:color="auto" w:fill="D9D9D9" w:themeFill="background1" w:themeFillShade="D9"/>
          </w:tcPr>
          <w:p w:rsidR="006D6BE0" w:rsidRDefault="006D6BE0" w:rsidP="00EA5187">
            <w:pPr>
              <w:jc w:val="center"/>
            </w:pPr>
            <w:r>
              <w:t>TDL-A</w:t>
            </w:r>
          </w:p>
        </w:tc>
        <w:tc>
          <w:tcPr>
            <w:tcW w:w="1709" w:type="dxa"/>
            <w:shd w:val="clear" w:color="auto" w:fill="D9D9D9" w:themeFill="background1" w:themeFillShade="D9"/>
          </w:tcPr>
          <w:p w:rsidR="006D6BE0" w:rsidRDefault="006D6BE0" w:rsidP="00EA5187">
            <w:pPr>
              <w:jc w:val="center"/>
            </w:pPr>
            <w:r>
              <w:t>SC-SFBC</w:t>
            </w:r>
          </w:p>
        </w:tc>
        <w:tc>
          <w:tcPr>
            <w:tcW w:w="1710" w:type="dxa"/>
            <w:shd w:val="clear" w:color="auto" w:fill="D9D9D9" w:themeFill="background1" w:themeFillShade="D9"/>
          </w:tcPr>
          <w:p w:rsidR="006D6BE0" w:rsidRDefault="006D6BE0" w:rsidP="00EA5187">
            <w:pPr>
              <w:jc w:val="center"/>
            </w:pPr>
            <w:r>
              <w:t>SS-STBC 0%</w:t>
            </w:r>
          </w:p>
        </w:tc>
        <w:tc>
          <w:tcPr>
            <w:tcW w:w="1710" w:type="dxa"/>
            <w:shd w:val="clear" w:color="auto" w:fill="D9D9D9" w:themeFill="background1" w:themeFillShade="D9"/>
          </w:tcPr>
          <w:p w:rsidR="006D6BE0" w:rsidRDefault="006D6BE0" w:rsidP="0051694C">
            <w:pPr>
              <w:jc w:val="center"/>
            </w:pPr>
            <w:r>
              <w:t xml:space="preserve">SS-STBC </w:t>
            </w:r>
            <w:r w:rsidR="0051694C">
              <w:t>33</w:t>
            </w:r>
            <w:r>
              <w:t>%</w:t>
            </w:r>
          </w:p>
        </w:tc>
        <w:tc>
          <w:tcPr>
            <w:tcW w:w="1710" w:type="dxa"/>
            <w:shd w:val="clear" w:color="auto" w:fill="D9D9D9" w:themeFill="background1" w:themeFillShade="D9"/>
          </w:tcPr>
          <w:p w:rsidR="006D6BE0" w:rsidRDefault="006D6BE0" w:rsidP="00EA5187">
            <w:pPr>
              <w:jc w:val="center"/>
            </w:pPr>
            <w:r>
              <w:t>SD-CDD</w:t>
            </w:r>
          </w:p>
        </w:tc>
        <w:tc>
          <w:tcPr>
            <w:tcW w:w="1710" w:type="dxa"/>
            <w:shd w:val="clear" w:color="auto" w:fill="D9D9D9" w:themeFill="background1" w:themeFillShade="D9"/>
          </w:tcPr>
          <w:p w:rsidR="006D6BE0" w:rsidRDefault="006D6BE0" w:rsidP="00EA5187">
            <w:pPr>
              <w:jc w:val="center"/>
            </w:pPr>
            <w:r>
              <w:t>LD-CDD</w:t>
            </w:r>
          </w:p>
        </w:tc>
      </w:tr>
      <w:tr w:rsidR="006D6BE0" w:rsidTr="0051694C">
        <w:tc>
          <w:tcPr>
            <w:tcW w:w="1413" w:type="dxa"/>
            <w:shd w:val="clear" w:color="auto" w:fill="D9D9D9" w:themeFill="background1" w:themeFillShade="D9"/>
          </w:tcPr>
          <w:p w:rsidR="006D6BE0" w:rsidRDefault="006D6BE0" w:rsidP="00EA5187">
            <w:pPr>
              <w:jc w:val="center"/>
            </w:pPr>
            <w:r>
              <w:t>300ns</w:t>
            </w:r>
          </w:p>
        </w:tc>
        <w:tc>
          <w:tcPr>
            <w:tcW w:w="1709" w:type="dxa"/>
          </w:tcPr>
          <w:p w:rsidR="006D6BE0" w:rsidRPr="006D6BE0" w:rsidRDefault="006D6BE0" w:rsidP="00EA5187">
            <w:pPr>
              <w:jc w:val="center"/>
              <w:rPr>
                <w:highlight w:val="green"/>
              </w:rPr>
            </w:pPr>
            <w:r w:rsidRPr="006D6BE0">
              <w:rPr>
                <w:highlight w:val="green"/>
              </w:rPr>
              <w:t>0 dB</w:t>
            </w:r>
          </w:p>
        </w:tc>
        <w:tc>
          <w:tcPr>
            <w:tcW w:w="1710" w:type="dxa"/>
          </w:tcPr>
          <w:p w:rsidR="006D6BE0" w:rsidRPr="006D6BE0" w:rsidRDefault="006D6BE0" w:rsidP="00EA5187">
            <w:pPr>
              <w:jc w:val="center"/>
              <w:rPr>
                <w:highlight w:val="green"/>
              </w:rPr>
            </w:pPr>
            <w:r w:rsidRPr="006D6BE0">
              <w:rPr>
                <w:highlight w:val="green"/>
              </w:rPr>
              <w:t>0</w:t>
            </w:r>
            <w:r>
              <w:rPr>
                <w:highlight w:val="green"/>
              </w:rPr>
              <w:t>.15</w:t>
            </w:r>
            <w:r w:rsidRPr="006D6BE0">
              <w:rPr>
                <w:highlight w:val="green"/>
              </w:rPr>
              <w:t xml:space="preserve"> dB</w:t>
            </w:r>
          </w:p>
        </w:tc>
        <w:tc>
          <w:tcPr>
            <w:tcW w:w="1710" w:type="dxa"/>
          </w:tcPr>
          <w:p w:rsidR="006D6BE0" w:rsidRPr="006D6BE0" w:rsidRDefault="006D6BE0" w:rsidP="00EA5187">
            <w:pPr>
              <w:jc w:val="center"/>
              <w:rPr>
                <w:highlight w:val="green"/>
              </w:rPr>
            </w:pPr>
            <w:r w:rsidRPr="006D6BE0">
              <w:rPr>
                <w:highlight w:val="green"/>
              </w:rPr>
              <w:t>0</w:t>
            </w:r>
            <w:r>
              <w:rPr>
                <w:highlight w:val="green"/>
              </w:rPr>
              <w:t>.05</w:t>
            </w:r>
            <w:r w:rsidRPr="006D6BE0">
              <w:rPr>
                <w:highlight w:val="green"/>
              </w:rPr>
              <w:t xml:space="preserve"> dB</w:t>
            </w:r>
          </w:p>
        </w:tc>
        <w:tc>
          <w:tcPr>
            <w:tcW w:w="1710" w:type="dxa"/>
          </w:tcPr>
          <w:p w:rsidR="006D6BE0" w:rsidRDefault="006D6BE0" w:rsidP="006D6BE0">
            <w:pPr>
              <w:jc w:val="center"/>
            </w:pPr>
            <w:r w:rsidRPr="006D6BE0">
              <w:rPr>
                <w:highlight w:val="red"/>
              </w:rPr>
              <w:t>0.7 dB</w:t>
            </w:r>
          </w:p>
        </w:tc>
        <w:tc>
          <w:tcPr>
            <w:tcW w:w="1710" w:type="dxa"/>
          </w:tcPr>
          <w:p w:rsidR="006D6BE0" w:rsidRDefault="006D6BE0" w:rsidP="00EA5187">
            <w:pPr>
              <w:jc w:val="center"/>
            </w:pPr>
            <w:r>
              <w:rPr>
                <w:highlight w:val="red"/>
              </w:rPr>
              <w:t>2</w:t>
            </w:r>
            <w:r w:rsidRPr="006D6BE0">
              <w:rPr>
                <w:highlight w:val="red"/>
              </w:rPr>
              <w:t xml:space="preserve"> dB</w:t>
            </w:r>
          </w:p>
        </w:tc>
      </w:tr>
      <w:tr w:rsidR="006D6BE0" w:rsidTr="0051694C">
        <w:tc>
          <w:tcPr>
            <w:tcW w:w="1413" w:type="dxa"/>
            <w:shd w:val="clear" w:color="auto" w:fill="D9D9D9" w:themeFill="background1" w:themeFillShade="D9"/>
          </w:tcPr>
          <w:p w:rsidR="006D6BE0" w:rsidRDefault="006D6BE0" w:rsidP="00EA5187">
            <w:pPr>
              <w:jc w:val="center"/>
            </w:pPr>
            <w:r>
              <w:t>1000ns</w:t>
            </w:r>
          </w:p>
        </w:tc>
        <w:tc>
          <w:tcPr>
            <w:tcW w:w="1709" w:type="dxa"/>
          </w:tcPr>
          <w:p w:rsidR="006D6BE0" w:rsidRDefault="006D6BE0" w:rsidP="006D6BE0">
            <w:pPr>
              <w:jc w:val="center"/>
            </w:pPr>
            <w:r w:rsidRPr="006D6BE0">
              <w:rPr>
                <w:highlight w:val="green"/>
              </w:rPr>
              <w:t>0.</w:t>
            </w:r>
            <w:r>
              <w:rPr>
                <w:highlight w:val="green"/>
              </w:rPr>
              <w:t>1</w:t>
            </w:r>
            <w:r w:rsidRPr="006D6BE0">
              <w:rPr>
                <w:highlight w:val="green"/>
              </w:rPr>
              <w:t xml:space="preserve"> dB</w:t>
            </w:r>
          </w:p>
        </w:tc>
        <w:tc>
          <w:tcPr>
            <w:tcW w:w="1710" w:type="dxa"/>
          </w:tcPr>
          <w:p w:rsidR="006D6BE0" w:rsidRDefault="006D6BE0" w:rsidP="00EA5187">
            <w:pPr>
              <w:jc w:val="center"/>
            </w:pPr>
            <w:r>
              <w:rPr>
                <w:highlight w:val="red"/>
              </w:rPr>
              <w:t>1.5</w:t>
            </w:r>
            <w:r w:rsidRPr="006D6BE0">
              <w:rPr>
                <w:highlight w:val="red"/>
              </w:rPr>
              <w:t xml:space="preserve"> dB</w:t>
            </w:r>
          </w:p>
        </w:tc>
        <w:tc>
          <w:tcPr>
            <w:tcW w:w="1710" w:type="dxa"/>
          </w:tcPr>
          <w:p w:rsidR="006D6BE0" w:rsidRDefault="006D6BE0" w:rsidP="00EA5187">
            <w:pPr>
              <w:jc w:val="center"/>
            </w:pPr>
            <w:r w:rsidRPr="006D6BE0">
              <w:rPr>
                <w:highlight w:val="red"/>
              </w:rPr>
              <w:t>0.5 dB</w:t>
            </w:r>
          </w:p>
        </w:tc>
        <w:tc>
          <w:tcPr>
            <w:tcW w:w="1710" w:type="dxa"/>
          </w:tcPr>
          <w:p w:rsidR="006D6BE0" w:rsidRPr="006D6BE0" w:rsidRDefault="006D6BE0" w:rsidP="00EA5187">
            <w:pPr>
              <w:jc w:val="center"/>
              <w:rPr>
                <w:highlight w:val="red"/>
              </w:rPr>
            </w:pPr>
            <w:r>
              <w:rPr>
                <w:highlight w:val="red"/>
              </w:rPr>
              <w:t>1.8</w:t>
            </w:r>
            <w:r w:rsidRPr="006D6BE0">
              <w:rPr>
                <w:highlight w:val="red"/>
              </w:rPr>
              <w:t>5 dB</w:t>
            </w:r>
          </w:p>
        </w:tc>
        <w:tc>
          <w:tcPr>
            <w:tcW w:w="1710" w:type="dxa"/>
          </w:tcPr>
          <w:p w:rsidR="006D6BE0" w:rsidRPr="006D6BE0" w:rsidRDefault="006D6BE0" w:rsidP="006D6BE0">
            <w:pPr>
              <w:jc w:val="center"/>
              <w:rPr>
                <w:highlight w:val="red"/>
              </w:rPr>
            </w:pPr>
            <w:r w:rsidRPr="006D6BE0">
              <w:rPr>
                <w:highlight w:val="red"/>
              </w:rPr>
              <w:t>1.</w:t>
            </w:r>
            <w:r>
              <w:rPr>
                <w:highlight w:val="red"/>
              </w:rPr>
              <w:t>5</w:t>
            </w:r>
            <w:r w:rsidRPr="006D6BE0">
              <w:rPr>
                <w:highlight w:val="red"/>
              </w:rPr>
              <w:t xml:space="preserve"> dB</w:t>
            </w:r>
          </w:p>
        </w:tc>
      </w:tr>
    </w:tbl>
    <w:p w:rsidR="00B24C17" w:rsidRDefault="00B24C17">
      <w:pPr>
        <w:spacing w:after="0"/>
        <w:jc w:val="left"/>
      </w:pPr>
    </w:p>
    <w:p w:rsidR="006D6BE0" w:rsidRDefault="006D6BE0" w:rsidP="0051694C">
      <w:pPr>
        <w:pBdr>
          <w:bottom w:val="single" w:sz="12" w:space="2" w:color="auto"/>
        </w:pBdr>
      </w:pPr>
    </w:p>
    <w:p w:rsidR="00C42741" w:rsidRDefault="00C42741" w:rsidP="00A81622">
      <w:pPr>
        <w:pStyle w:val="Titre1"/>
      </w:pPr>
      <w:r w:rsidRPr="00055E47">
        <w:t>Conclusion</w:t>
      </w:r>
    </w:p>
    <w:p w:rsidR="00117541" w:rsidRDefault="00117541" w:rsidP="00117541">
      <w:r w:rsidRPr="00117541">
        <w:rPr>
          <w:b/>
        </w:rPr>
        <w:t>Observation</w:t>
      </w:r>
      <w:r w:rsidR="007035F6">
        <w:rPr>
          <w:b/>
        </w:rPr>
        <w:t xml:space="preserve"> 1</w:t>
      </w:r>
      <w:r>
        <w:t xml:space="preserve">: </w:t>
      </w:r>
      <w:r w:rsidRPr="00117541">
        <w:rPr>
          <w:i/>
        </w:rPr>
        <w:t>PAPR preserving SFBC shows the following characteristics:</w:t>
      </w:r>
    </w:p>
    <w:p w:rsidR="00117541" w:rsidRPr="00117541" w:rsidRDefault="00117541" w:rsidP="00117541">
      <w:pPr>
        <w:pStyle w:val="Paragraphedeliste"/>
        <w:numPr>
          <w:ilvl w:val="0"/>
          <w:numId w:val="32"/>
        </w:numPr>
        <w:ind w:leftChars="0"/>
        <w:rPr>
          <w:i/>
        </w:rPr>
      </w:pPr>
      <w:r w:rsidRPr="00117541">
        <w:rPr>
          <w:i/>
        </w:rPr>
        <w:t>Full-diversity achieving</w:t>
      </w:r>
    </w:p>
    <w:p w:rsidR="00117541" w:rsidRPr="00117541" w:rsidRDefault="00117541" w:rsidP="00117541">
      <w:pPr>
        <w:pStyle w:val="Paragraphedeliste"/>
        <w:numPr>
          <w:ilvl w:val="0"/>
          <w:numId w:val="32"/>
        </w:numPr>
        <w:ind w:leftChars="0"/>
        <w:rPr>
          <w:i/>
        </w:rPr>
      </w:pPr>
      <w:r w:rsidRPr="00117541">
        <w:rPr>
          <w:i/>
        </w:rPr>
        <w:t>Applicable to any number of symbols per slot</w:t>
      </w:r>
    </w:p>
    <w:p w:rsidR="00117541" w:rsidRPr="00117541" w:rsidRDefault="00117541" w:rsidP="00117541">
      <w:pPr>
        <w:pStyle w:val="Paragraphedeliste"/>
        <w:numPr>
          <w:ilvl w:val="0"/>
          <w:numId w:val="32"/>
        </w:numPr>
        <w:ind w:leftChars="0"/>
        <w:rPr>
          <w:i/>
        </w:rPr>
      </w:pPr>
      <w:r w:rsidRPr="00117541">
        <w:rPr>
          <w:i/>
        </w:rPr>
        <w:t>PAPR conserving</w:t>
      </w:r>
    </w:p>
    <w:p w:rsidR="00117541" w:rsidRDefault="00117541" w:rsidP="00117541">
      <w:pPr>
        <w:pStyle w:val="Paragraphedeliste"/>
        <w:numPr>
          <w:ilvl w:val="0"/>
          <w:numId w:val="32"/>
        </w:numPr>
        <w:ind w:leftChars="0"/>
      </w:pPr>
      <w:r w:rsidRPr="00117541">
        <w:rPr>
          <w:i/>
        </w:rPr>
        <w:t>Low-complexity frequency-domain MMSE detection based on order-2 matrix inversions</w:t>
      </w:r>
    </w:p>
    <w:p w:rsidR="007035F6" w:rsidRDefault="007035F6" w:rsidP="005B2DDF">
      <w:r w:rsidRPr="007035F6">
        <w:rPr>
          <w:b/>
        </w:rPr>
        <w:t>Observation 2</w:t>
      </w:r>
      <w:r>
        <w:t xml:space="preserve">: </w:t>
      </w:r>
      <w:r w:rsidRPr="005B2DDF">
        <w:rPr>
          <w:i/>
        </w:rPr>
        <w:t xml:space="preserve">Full diversity Alamouti schemes are more robust than </w:t>
      </w:r>
      <w:r w:rsidR="00333EAF">
        <w:rPr>
          <w:i/>
        </w:rPr>
        <w:t xml:space="preserve">short delay </w:t>
      </w:r>
      <w:r w:rsidRPr="005B2DDF">
        <w:rPr>
          <w:i/>
        </w:rPr>
        <w:t>CDD</w:t>
      </w:r>
    </w:p>
    <w:p w:rsidR="007035F6" w:rsidRDefault="007035F6" w:rsidP="005B2DDF">
      <w:pPr>
        <w:rPr>
          <w:i/>
        </w:rPr>
      </w:pPr>
      <w:r w:rsidRPr="007035F6">
        <w:rPr>
          <w:b/>
        </w:rPr>
        <w:t>Observation 3</w:t>
      </w:r>
      <w:r>
        <w:t xml:space="preserve">: </w:t>
      </w:r>
      <w:r w:rsidRPr="005B2DDF">
        <w:rPr>
          <w:i/>
        </w:rPr>
        <w:t>The PAPR preserving SC-SFBC matches the FER performance of SFBC without any PAPR loss and is thus preferred to SFBC</w:t>
      </w:r>
      <w:r>
        <w:t xml:space="preserve">. </w:t>
      </w:r>
      <w:r w:rsidRPr="005B2DDF">
        <w:rPr>
          <w:i/>
        </w:rPr>
        <w:t>SC-SFBC outperforms SFBC when taking into account FER performance and PAPR performance.</w:t>
      </w:r>
    </w:p>
    <w:p w:rsidR="007035F6" w:rsidRDefault="0051694C" w:rsidP="005B2DDF">
      <w:r w:rsidRPr="0051694C">
        <w:rPr>
          <w:b/>
        </w:rPr>
        <w:t>Observation 4</w:t>
      </w:r>
      <w:r>
        <w:t xml:space="preserve">: </w:t>
      </w:r>
      <w:r w:rsidRPr="0051694C">
        <w:rPr>
          <w:i/>
        </w:rPr>
        <w:t>With short frequency domain allocations as it is the case in PUCCH transmission,</w:t>
      </w:r>
      <w:r>
        <w:t xml:space="preserve"> </w:t>
      </w:r>
      <w:r w:rsidRPr="00772C1F">
        <w:rPr>
          <w:i/>
        </w:rPr>
        <w:t>SS-STBC is more sensitive to long delay spreads than SC-SFBC</w:t>
      </w:r>
      <w:r>
        <w:t>.</w:t>
      </w:r>
    </w:p>
    <w:p w:rsidR="0051694C" w:rsidRDefault="0051694C" w:rsidP="005B2DDF"/>
    <w:p w:rsidR="0051694C" w:rsidRPr="005B2DDF" w:rsidRDefault="0051694C" w:rsidP="005B2DDF">
      <w:r>
        <w:t>Therefore, we propose the following:</w:t>
      </w:r>
    </w:p>
    <w:p w:rsidR="00A81622" w:rsidRDefault="005B2DDF" w:rsidP="00A81622">
      <w:r w:rsidRPr="005B2DDF">
        <w:rPr>
          <w:b/>
        </w:rPr>
        <w:t>Proposal 1</w:t>
      </w:r>
      <w:r>
        <w:t xml:space="preserve">: </w:t>
      </w:r>
      <w:r w:rsidRPr="005B2DDF">
        <w:rPr>
          <w:i/>
        </w:rPr>
        <w:t xml:space="preserve">Support </w:t>
      </w:r>
      <w:r w:rsidR="00C80102">
        <w:rPr>
          <w:i/>
        </w:rPr>
        <w:t xml:space="preserve">Alamouti-based </w:t>
      </w:r>
      <w:r w:rsidRPr="005B2DDF">
        <w:rPr>
          <w:i/>
        </w:rPr>
        <w:t xml:space="preserve">transmit diversity schemes for </w:t>
      </w:r>
      <w:r w:rsidR="00117541">
        <w:rPr>
          <w:i/>
        </w:rPr>
        <w:t xml:space="preserve">long PUCCH with </w:t>
      </w:r>
      <w:r w:rsidRPr="005B2DDF">
        <w:rPr>
          <w:i/>
        </w:rPr>
        <w:t>DFTsOFDM.</w:t>
      </w:r>
    </w:p>
    <w:p w:rsidR="00A81622" w:rsidRDefault="00181778" w:rsidP="00A81622">
      <w:pPr>
        <w:rPr>
          <w:i/>
        </w:rPr>
      </w:pPr>
      <w:r w:rsidRPr="005B2DDF">
        <w:rPr>
          <w:b/>
        </w:rPr>
        <w:t>Proposal</w:t>
      </w:r>
      <w:r w:rsidR="005B2DDF" w:rsidRPr="005B2DDF">
        <w:rPr>
          <w:b/>
        </w:rPr>
        <w:t xml:space="preserve"> 2</w:t>
      </w:r>
      <w:r>
        <w:t xml:space="preserve">: </w:t>
      </w:r>
      <w:r w:rsidRPr="005B2DDF">
        <w:rPr>
          <w:i/>
        </w:rPr>
        <w:t xml:space="preserve">Consider PAPR preserving </w:t>
      </w:r>
      <w:r w:rsidR="005B2DDF">
        <w:rPr>
          <w:i/>
        </w:rPr>
        <w:t>SC-</w:t>
      </w:r>
      <w:r w:rsidRPr="005B2DDF">
        <w:rPr>
          <w:i/>
        </w:rPr>
        <w:t>SFBC as transmit diversity scheme for</w:t>
      </w:r>
      <w:r w:rsidR="008E2713">
        <w:rPr>
          <w:i/>
        </w:rPr>
        <w:t xml:space="preserve"> long PUCCH with</w:t>
      </w:r>
      <w:r w:rsidRPr="005B2DDF">
        <w:rPr>
          <w:i/>
        </w:rPr>
        <w:t xml:space="preserve"> DFTsOFDM</w:t>
      </w:r>
      <w:r w:rsidR="005B2DDF">
        <w:rPr>
          <w:i/>
        </w:rPr>
        <w:t>.</w:t>
      </w:r>
    </w:p>
    <w:p w:rsidR="0049738E" w:rsidRDefault="0049738E">
      <w:pPr>
        <w:spacing w:after="0"/>
        <w:jc w:val="left"/>
        <w:rPr>
          <w:i/>
        </w:rPr>
      </w:pPr>
    </w:p>
    <w:p w:rsidR="00E03EB3" w:rsidRDefault="00E03EB3">
      <w:pPr>
        <w:spacing w:after="0"/>
        <w:jc w:val="left"/>
        <w:rPr>
          <w:i/>
        </w:rPr>
      </w:pPr>
    </w:p>
    <w:p w:rsidR="00E03EB3" w:rsidRDefault="00E03EB3">
      <w:pPr>
        <w:spacing w:after="0"/>
        <w:jc w:val="left"/>
        <w:rPr>
          <w:i/>
        </w:rPr>
      </w:pPr>
    </w:p>
    <w:p w:rsidR="009F21E6" w:rsidRDefault="009F21E6">
      <w:pPr>
        <w:spacing w:after="0"/>
        <w:jc w:val="left"/>
        <w:rPr>
          <w:i/>
        </w:rPr>
      </w:pPr>
      <w:r>
        <w:rPr>
          <w:i/>
        </w:rPr>
        <w:br w:type="page"/>
      </w:r>
    </w:p>
    <w:p w:rsidR="008E2713" w:rsidRDefault="008E2713">
      <w:pPr>
        <w:pBdr>
          <w:bottom w:val="single" w:sz="12" w:space="1" w:color="auto"/>
        </w:pBdr>
        <w:spacing w:after="0"/>
        <w:jc w:val="left"/>
        <w:rPr>
          <w:i/>
        </w:rPr>
      </w:pPr>
    </w:p>
    <w:p w:rsidR="0049738E" w:rsidRDefault="0049738E" w:rsidP="0049738E">
      <w:pPr>
        <w:pStyle w:val="Titre1"/>
      </w:pPr>
      <w:r>
        <w:t>R</w:t>
      </w:r>
      <w:r w:rsidRPr="00055E47">
        <w:t>eferences</w:t>
      </w:r>
    </w:p>
    <w:p w:rsidR="00705328" w:rsidRDefault="0049738E" w:rsidP="0049738E">
      <w:pPr>
        <w:pStyle w:val="Titre3"/>
        <w:numPr>
          <w:ilvl w:val="0"/>
          <w:numId w:val="10"/>
        </w:numPr>
      </w:pPr>
      <w:bookmarkStart w:id="11" w:name="_Ref477424004"/>
      <w:bookmarkStart w:id="12" w:name="_Ref468982085"/>
      <w:bookmarkStart w:id="13" w:name="_Ref461457447"/>
      <w:bookmarkStart w:id="14" w:name="_Ref457744160"/>
      <w:bookmarkStart w:id="15" w:name="_Ref468983461"/>
      <w:r w:rsidRPr="000F778A">
        <w:t>Chairman’s note</w:t>
      </w:r>
      <w:r>
        <w:t>s</w:t>
      </w:r>
      <w:r w:rsidRPr="000F778A">
        <w:t>, RAN1</w:t>
      </w:r>
      <w:r>
        <w:t xml:space="preserve"> NR AH 01, S</w:t>
      </w:r>
      <w:r w:rsidR="000F41A6">
        <w:t>pokane, Washington, January 201</w:t>
      </w:r>
      <w:r>
        <w:t>7</w:t>
      </w:r>
      <w:r w:rsidR="00705328">
        <w:t>.</w:t>
      </w:r>
      <w:bookmarkEnd w:id="11"/>
    </w:p>
    <w:p w:rsidR="0049738E" w:rsidRDefault="00705328" w:rsidP="0049738E">
      <w:pPr>
        <w:pStyle w:val="Titre3"/>
        <w:numPr>
          <w:ilvl w:val="0"/>
          <w:numId w:val="10"/>
        </w:numPr>
      </w:pPr>
      <w:bookmarkStart w:id="16" w:name="_Ref477424013"/>
      <w:r>
        <w:t>Chairman’s notes, RAN1#88</w:t>
      </w:r>
      <w:r w:rsidR="00CF114D">
        <w:t>b</w:t>
      </w:r>
      <w:r>
        <w:t xml:space="preserve">, </w:t>
      </w:r>
      <w:r w:rsidR="00CF114D">
        <w:t>Spokane, Washington, April 2017</w:t>
      </w:r>
      <w:r w:rsidR="000F41A6">
        <w:t>.</w:t>
      </w:r>
      <w:bookmarkEnd w:id="16"/>
    </w:p>
    <w:p w:rsidR="008555DE" w:rsidRDefault="008555DE" w:rsidP="0049738E">
      <w:pPr>
        <w:pStyle w:val="Titre3"/>
        <w:numPr>
          <w:ilvl w:val="0"/>
          <w:numId w:val="10"/>
        </w:numPr>
      </w:pPr>
      <w:bookmarkStart w:id="17" w:name="_Ref473758040"/>
      <w:bookmarkStart w:id="18" w:name="_Ref468984773"/>
      <w:bookmarkEnd w:id="12"/>
      <w:bookmarkEnd w:id="13"/>
      <w:bookmarkEnd w:id="14"/>
      <w:bookmarkEnd w:id="15"/>
      <w:r w:rsidRPr="006F4B22">
        <w:t>R1-105709</w:t>
      </w:r>
      <w:r>
        <w:t>, Comparison of 2-Tx transmit diversity schemes for PUCCH Format 3, RAN1#62b.</w:t>
      </w:r>
      <w:bookmarkEnd w:id="17"/>
    </w:p>
    <w:p w:rsidR="00190654" w:rsidRDefault="0049738E" w:rsidP="0049738E">
      <w:pPr>
        <w:pStyle w:val="Titre3"/>
        <w:numPr>
          <w:ilvl w:val="0"/>
          <w:numId w:val="10"/>
        </w:numPr>
      </w:pPr>
      <w:bookmarkStart w:id="19" w:name="_Ref473758531"/>
      <w:r>
        <w:t xml:space="preserve">C. Ciochina, D. Castelain, D. Mottier and H. Sari, “A Space-Frequency Block Code for Single-Carrier FDMA,” </w:t>
      </w:r>
      <w:r w:rsidRPr="00965FE1">
        <w:t>Electro</w:t>
      </w:r>
      <w:r>
        <w:t xml:space="preserve">nics Letters 44(11):690 - 691 </w:t>
      </w:r>
      <w:r w:rsidRPr="00965FE1">
        <w:t>February 2008</w:t>
      </w:r>
      <w:r w:rsidR="00190654">
        <w:t>.</w:t>
      </w:r>
      <w:bookmarkEnd w:id="19"/>
    </w:p>
    <w:p w:rsidR="00A54F1A" w:rsidRPr="00B24C17" w:rsidRDefault="002652DB" w:rsidP="00A54F1A">
      <w:pPr>
        <w:pStyle w:val="Titre3"/>
        <w:numPr>
          <w:ilvl w:val="0"/>
          <w:numId w:val="10"/>
        </w:numPr>
        <w:rPr>
          <w:rFonts w:asciiTheme="majorHAnsi" w:hAnsiTheme="majorHAnsi" w:cstheme="majorHAnsi"/>
        </w:rPr>
      </w:pPr>
      <w:bookmarkStart w:id="20" w:name="_Ref477968925"/>
      <w:bookmarkStart w:id="21" w:name="_Ref473758543"/>
      <w:r w:rsidRPr="00B24C17">
        <w:t>R1-170</w:t>
      </w:r>
      <w:r w:rsidR="00B71ABF" w:rsidRPr="00B24C17">
        <w:t>7798</w:t>
      </w:r>
      <w:r w:rsidR="00AD08EA" w:rsidRPr="00B24C17">
        <w:t xml:space="preserve"> </w:t>
      </w:r>
      <w:r w:rsidRPr="00B24C17">
        <w:rPr>
          <w:rFonts w:asciiTheme="majorHAnsi" w:hAnsiTheme="majorHAnsi" w:cstheme="majorHAnsi"/>
        </w:rPr>
        <w:t>UL diversity transmission for DFTsOFDM</w:t>
      </w:r>
      <w:r w:rsidR="00AD08EA" w:rsidRPr="00B24C17">
        <w:rPr>
          <w:rFonts w:asciiTheme="majorHAnsi" w:hAnsiTheme="majorHAnsi" w:cstheme="majorHAnsi"/>
        </w:rPr>
        <w:t>, Mitsubishi Electric, RAN1#8</w:t>
      </w:r>
      <w:r w:rsidR="00B71ABF" w:rsidRPr="00B24C17">
        <w:rPr>
          <w:rFonts w:asciiTheme="majorHAnsi" w:hAnsiTheme="majorHAnsi" w:cstheme="majorHAnsi"/>
        </w:rPr>
        <w:t>9</w:t>
      </w:r>
      <w:r w:rsidR="00AD08EA" w:rsidRPr="00B24C17">
        <w:rPr>
          <w:rFonts w:asciiTheme="majorHAnsi" w:hAnsiTheme="majorHAnsi" w:cstheme="majorHAnsi"/>
        </w:rPr>
        <w:t>,</w:t>
      </w:r>
      <w:r w:rsidR="00B71ABF" w:rsidRPr="00B24C17">
        <w:rPr>
          <w:rFonts w:asciiTheme="majorHAnsi" w:hAnsiTheme="majorHAnsi" w:cstheme="majorHAnsi"/>
        </w:rPr>
        <w:t xml:space="preserve"> Hangzhou, China, May</w:t>
      </w:r>
      <w:r w:rsidR="00AD08EA" w:rsidRPr="00B24C17">
        <w:rPr>
          <w:rFonts w:asciiTheme="majorHAnsi" w:hAnsiTheme="majorHAnsi" w:cstheme="majorHAnsi"/>
        </w:rPr>
        <w:t xml:space="preserve"> 2017</w:t>
      </w:r>
      <w:bookmarkEnd w:id="20"/>
    </w:p>
    <w:p w:rsidR="00A54F1A" w:rsidRPr="00A54F1A" w:rsidRDefault="00A54F1A" w:rsidP="00EA5187">
      <w:pPr>
        <w:pStyle w:val="Titre3"/>
        <w:numPr>
          <w:ilvl w:val="0"/>
          <w:numId w:val="10"/>
        </w:numPr>
        <w:rPr>
          <w:rFonts w:asciiTheme="majorHAnsi" w:hAnsiTheme="majorHAnsi" w:cstheme="majorHAnsi"/>
        </w:rPr>
      </w:pPr>
      <w:bookmarkStart w:id="22" w:name="_Ref477358745"/>
      <w:r>
        <w:t>X. Luo, P. Gaal, W. Chen, X. Zhang. And J. Montojo, “Transmit Diversity Scheme over Single SC-FDM Symbol for LTE-Advanced,” GLOBECOM 2009.</w:t>
      </w:r>
      <w:bookmarkEnd w:id="21"/>
      <w:bookmarkEnd w:id="22"/>
    </w:p>
    <w:p w:rsidR="006E469E" w:rsidRDefault="006E469E" w:rsidP="006E469E">
      <w:pPr>
        <w:pStyle w:val="Titre3"/>
        <w:numPr>
          <w:ilvl w:val="0"/>
          <w:numId w:val="10"/>
        </w:numPr>
      </w:pPr>
      <w:bookmarkStart w:id="23" w:name="_Ref471402488"/>
      <w:r w:rsidRPr="00970589">
        <w:t>R1-166004, “Response LS on realistic power amplifier model for NR waveform evaluation”, RAN4 LS, RA</w:t>
      </w:r>
      <w:r>
        <w:t>N1#85, Nanjing, China, May 2016</w:t>
      </w:r>
      <w:r w:rsidRPr="00603E6F">
        <w:t>.</w:t>
      </w:r>
      <w:bookmarkEnd w:id="23"/>
    </w:p>
    <w:p w:rsidR="00190654" w:rsidRPr="00190654" w:rsidRDefault="00190654" w:rsidP="00190654"/>
    <w:bookmarkEnd w:id="18"/>
    <w:p w:rsidR="0049738E" w:rsidRDefault="0049738E" w:rsidP="0049738E"/>
    <w:p w:rsidR="0049738E" w:rsidRDefault="0049738E" w:rsidP="0049738E"/>
    <w:sectPr w:rsidR="0049738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8FC" w:rsidRDefault="007418FC" w:rsidP="00A81622">
      <w:r>
        <w:separator/>
      </w:r>
    </w:p>
  </w:endnote>
  <w:endnote w:type="continuationSeparator" w:id="0">
    <w:p w:rsidR="007418FC" w:rsidRDefault="007418FC" w:rsidP="00A81622">
      <w:r>
        <w:continuationSeparator/>
      </w:r>
    </w:p>
  </w:endnote>
  <w:endnote w:type="continuationNotice" w:id="1">
    <w:p w:rsidR="007418FC" w:rsidRDefault="007418FC"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8FC" w:rsidRDefault="007418FC" w:rsidP="00A81622">
      <w:r>
        <w:separator/>
      </w:r>
    </w:p>
  </w:footnote>
  <w:footnote w:type="continuationSeparator" w:id="0">
    <w:p w:rsidR="007418FC" w:rsidRDefault="007418FC" w:rsidP="00A81622">
      <w:r>
        <w:continuationSeparator/>
      </w:r>
    </w:p>
  </w:footnote>
  <w:footnote w:type="continuationNotice" w:id="1">
    <w:p w:rsidR="007418FC" w:rsidRDefault="007418FC"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272194"/>
    <w:multiLevelType w:val="hybridMultilevel"/>
    <w:tmpl w:val="AFE46600"/>
    <w:lvl w:ilvl="0" w:tplc="855EF010">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53F3CD5"/>
    <w:multiLevelType w:val="hybridMultilevel"/>
    <w:tmpl w:val="07BC1A8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18"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421EAD"/>
    <w:multiLevelType w:val="hybridMultilevel"/>
    <w:tmpl w:val="296C6B7C"/>
    <w:lvl w:ilvl="0" w:tplc="4914E52A">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014BA9"/>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2"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26"/>
  </w:num>
  <w:num w:numId="3">
    <w:abstractNumId w:val="29"/>
  </w:num>
  <w:num w:numId="4">
    <w:abstractNumId w:val="14"/>
  </w:num>
  <w:num w:numId="5">
    <w:abstractNumId w:val="33"/>
  </w:num>
  <w:num w:numId="6">
    <w:abstractNumId w:val="4"/>
  </w:num>
  <w:num w:numId="7">
    <w:abstractNumId w:val="18"/>
  </w:num>
  <w:num w:numId="8">
    <w:abstractNumId w:val="21"/>
  </w:num>
  <w:num w:numId="9">
    <w:abstractNumId w:val="6"/>
  </w:num>
  <w:num w:numId="10">
    <w:abstractNumId w:val="11"/>
  </w:num>
  <w:num w:numId="11">
    <w:abstractNumId w:val="1"/>
  </w:num>
  <w:num w:numId="12">
    <w:abstractNumId w:val="34"/>
  </w:num>
  <w:num w:numId="13">
    <w:abstractNumId w:val="17"/>
  </w:num>
  <w:num w:numId="14">
    <w:abstractNumId w:val="25"/>
  </w:num>
  <w:num w:numId="15">
    <w:abstractNumId w:val="31"/>
  </w:num>
  <w:num w:numId="16">
    <w:abstractNumId w:val="9"/>
  </w:num>
  <w:num w:numId="17">
    <w:abstractNumId w:val="3"/>
  </w:num>
  <w:num w:numId="18">
    <w:abstractNumId w:val="2"/>
  </w:num>
  <w:num w:numId="19">
    <w:abstractNumId w:val="32"/>
  </w:num>
  <w:num w:numId="20">
    <w:abstractNumId w:val="12"/>
  </w:num>
  <w:num w:numId="21">
    <w:abstractNumId w:val="20"/>
  </w:num>
  <w:num w:numId="22">
    <w:abstractNumId w:val="5"/>
  </w:num>
  <w:num w:numId="23">
    <w:abstractNumId w:val="29"/>
  </w:num>
  <w:num w:numId="24">
    <w:abstractNumId w:val="24"/>
  </w:num>
  <w:num w:numId="25">
    <w:abstractNumId w:val="13"/>
  </w:num>
  <w:num w:numId="26">
    <w:abstractNumId w:val="15"/>
  </w:num>
  <w:num w:numId="27">
    <w:abstractNumId w:val="19"/>
  </w:num>
  <w:num w:numId="28">
    <w:abstractNumId w:val="28"/>
  </w:num>
  <w:num w:numId="29">
    <w:abstractNumId w:val="22"/>
  </w:num>
  <w:num w:numId="30">
    <w:abstractNumId w:val="7"/>
  </w:num>
  <w:num w:numId="31">
    <w:abstractNumId w:val="30"/>
  </w:num>
  <w:num w:numId="32">
    <w:abstractNumId w:val="23"/>
  </w:num>
  <w:num w:numId="33">
    <w:abstractNumId w:val="27"/>
  </w:num>
  <w:num w:numId="34">
    <w:abstractNumId w:val="10"/>
  </w:num>
  <w:num w:numId="35">
    <w:abstractNumId w:val="8"/>
  </w:num>
  <w:num w:numId="36">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E77"/>
    <w:rsid w:val="00061C83"/>
    <w:rsid w:val="00063491"/>
    <w:rsid w:val="00063683"/>
    <w:rsid w:val="000643E0"/>
    <w:rsid w:val="00064401"/>
    <w:rsid w:val="0006454B"/>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7AFB"/>
    <w:rsid w:val="00080237"/>
    <w:rsid w:val="000804DC"/>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81B"/>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44B0"/>
    <w:rsid w:val="000C5723"/>
    <w:rsid w:val="000C6405"/>
    <w:rsid w:val="000C7B67"/>
    <w:rsid w:val="000D0A1A"/>
    <w:rsid w:val="000D189C"/>
    <w:rsid w:val="000D2AB6"/>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34D8"/>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1A6"/>
    <w:rsid w:val="000F44A1"/>
    <w:rsid w:val="000F644E"/>
    <w:rsid w:val="000F686F"/>
    <w:rsid w:val="000F6951"/>
    <w:rsid w:val="000F720E"/>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7541"/>
    <w:rsid w:val="00117C28"/>
    <w:rsid w:val="00117D9D"/>
    <w:rsid w:val="00117ED5"/>
    <w:rsid w:val="0012017F"/>
    <w:rsid w:val="001207FF"/>
    <w:rsid w:val="00120E08"/>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1CF"/>
    <w:rsid w:val="001443F7"/>
    <w:rsid w:val="0014460F"/>
    <w:rsid w:val="00144805"/>
    <w:rsid w:val="00145771"/>
    <w:rsid w:val="00146295"/>
    <w:rsid w:val="00150012"/>
    <w:rsid w:val="0015001C"/>
    <w:rsid w:val="001507DA"/>
    <w:rsid w:val="00150EAE"/>
    <w:rsid w:val="00150EE4"/>
    <w:rsid w:val="001513C2"/>
    <w:rsid w:val="00151946"/>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0654"/>
    <w:rsid w:val="00191509"/>
    <w:rsid w:val="001927A9"/>
    <w:rsid w:val="0019300D"/>
    <w:rsid w:val="001940F1"/>
    <w:rsid w:val="00194435"/>
    <w:rsid w:val="001957D3"/>
    <w:rsid w:val="0019584D"/>
    <w:rsid w:val="00195978"/>
    <w:rsid w:val="0019686C"/>
    <w:rsid w:val="001973A5"/>
    <w:rsid w:val="00197939"/>
    <w:rsid w:val="001A0869"/>
    <w:rsid w:val="001A0C4F"/>
    <w:rsid w:val="001A0D15"/>
    <w:rsid w:val="001A0E81"/>
    <w:rsid w:val="001A139C"/>
    <w:rsid w:val="001A25B3"/>
    <w:rsid w:val="001A2894"/>
    <w:rsid w:val="001A2E91"/>
    <w:rsid w:val="001A31B7"/>
    <w:rsid w:val="001A355A"/>
    <w:rsid w:val="001A3A81"/>
    <w:rsid w:val="001A50DE"/>
    <w:rsid w:val="001A52F4"/>
    <w:rsid w:val="001A545E"/>
    <w:rsid w:val="001A60AC"/>
    <w:rsid w:val="001A62A4"/>
    <w:rsid w:val="001A6497"/>
    <w:rsid w:val="001A71F8"/>
    <w:rsid w:val="001A773C"/>
    <w:rsid w:val="001A77B0"/>
    <w:rsid w:val="001A7D7E"/>
    <w:rsid w:val="001B04D4"/>
    <w:rsid w:val="001B0527"/>
    <w:rsid w:val="001B0946"/>
    <w:rsid w:val="001B1F2D"/>
    <w:rsid w:val="001B2654"/>
    <w:rsid w:val="001B2755"/>
    <w:rsid w:val="001B2C08"/>
    <w:rsid w:val="001B325F"/>
    <w:rsid w:val="001B44E0"/>
    <w:rsid w:val="001B523D"/>
    <w:rsid w:val="001B7B3D"/>
    <w:rsid w:val="001B7B93"/>
    <w:rsid w:val="001C0373"/>
    <w:rsid w:val="001C0EB8"/>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7B0"/>
    <w:rsid w:val="001E1E5B"/>
    <w:rsid w:val="001E4B85"/>
    <w:rsid w:val="001E637E"/>
    <w:rsid w:val="001E6DC4"/>
    <w:rsid w:val="001E70C0"/>
    <w:rsid w:val="001E7AF4"/>
    <w:rsid w:val="001E7F83"/>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42C6"/>
    <w:rsid w:val="002155B7"/>
    <w:rsid w:val="002164B4"/>
    <w:rsid w:val="00216D1C"/>
    <w:rsid w:val="00216F4A"/>
    <w:rsid w:val="0021752D"/>
    <w:rsid w:val="00220C4B"/>
    <w:rsid w:val="002215A6"/>
    <w:rsid w:val="0022245A"/>
    <w:rsid w:val="002225EB"/>
    <w:rsid w:val="00222DAA"/>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2DB"/>
    <w:rsid w:val="00265552"/>
    <w:rsid w:val="002661D3"/>
    <w:rsid w:val="002662D1"/>
    <w:rsid w:val="002669CC"/>
    <w:rsid w:val="00266C02"/>
    <w:rsid w:val="00266FF3"/>
    <w:rsid w:val="002679F2"/>
    <w:rsid w:val="00267C21"/>
    <w:rsid w:val="002704C3"/>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798"/>
    <w:rsid w:val="00292908"/>
    <w:rsid w:val="00294DCE"/>
    <w:rsid w:val="00295E44"/>
    <w:rsid w:val="00296A66"/>
    <w:rsid w:val="00296B19"/>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F6D"/>
    <w:rsid w:val="002E32EB"/>
    <w:rsid w:val="002E4924"/>
    <w:rsid w:val="002E4AD1"/>
    <w:rsid w:val="002E4BFA"/>
    <w:rsid w:val="002E6777"/>
    <w:rsid w:val="002E6A07"/>
    <w:rsid w:val="002F06AE"/>
    <w:rsid w:val="002F3863"/>
    <w:rsid w:val="002F3E06"/>
    <w:rsid w:val="002F48EE"/>
    <w:rsid w:val="002F4D9E"/>
    <w:rsid w:val="002F6382"/>
    <w:rsid w:val="002F6B88"/>
    <w:rsid w:val="002F6E8F"/>
    <w:rsid w:val="00300F92"/>
    <w:rsid w:val="00302034"/>
    <w:rsid w:val="003028D4"/>
    <w:rsid w:val="00302D36"/>
    <w:rsid w:val="00302EE6"/>
    <w:rsid w:val="003040F9"/>
    <w:rsid w:val="00304FE9"/>
    <w:rsid w:val="00305DA6"/>
    <w:rsid w:val="003072E7"/>
    <w:rsid w:val="00307B46"/>
    <w:rsid w:val="00307E4B"/>
    <w:rsid w:val="003108F6"/>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818"/>
    <w:rsid w:val="00327CF5"/>
    <w:rsid w:val="00327DE8"/>
    <w:rsid w:val="00332417"/>
    <w:rsid w:val="00332EC3"/>
    <w:rsid w:val="00333ADC"/>
    <w:rsid w:val="00333EAF"/>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4A6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1E8A"/>
    <w:rsid w:val="00483F72"/>
    <w:rsid w:val="00484AAB"/>
    <w:rsid w:val="004857A7"/>
    <w:rsid w:val="00485B1E"/>
    <w:rsid w:val="00485E62"/>
    <w:rsid w:val="00485F86"/>
    <w:rsid w:val="00486698"/>
    <w:rsid w:val="004872CB"/>
    <w:rsid w:val="004872EF"/>
    <w:rsid w:val="00487FD0"/>
    <w:rsid w:val="004900BD"/>
    <w:rsid w:val="004906E8"/>
    <w:rsid w:val="00492819"/>
    <w:rsid w:val="00494207"/>
    <w:rsid w:val="00495BBB"/>
    <w:rsid w:val="0049699D"/>
    <w:rsid w:val="0049738E"/>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3FE9"/>
    <w:rsid w:val="004C4467"/>
    <w:rsid w:val="004C4F58"/>
    <w:rsid w:val="004C4FA4"/>
    <w:rsid w:val="004C50C3"/>
    <w:rsid w:val="004C7456"/>
    <w:rsid w:val="004D1349"/>
    <w:rsid w:val="004D31E3"/>
    <w:rsid w:val="004D33B0"/>
    <w:rsid w:val="004D53B1"/>
    <w:rsid w:val="004D5BE4"/>
    <w:rsid w:val="004D652B"/>
    <w:rsid w:val="004D6A0B"/>
    <w:rsid w:val="004D7CD6"/>
    <w:rsid w:val="004E065C"/>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62D"/>
    <w:rsid w:val="00504205"/>
    <w:rsid w:val="00505991"/>
    <w:rsid w:val="005061ED"/>
    <w:rsid w:val="005063F3"/>
    <w:rsid w:val="005072AC"/>
    <w:rsid w:val="00510E38"/>
    <w:rsid w:val="005117EB"/>
    <w:rsid w:val="00512F1A"/>
    <w:rsid w:val="00513046"/>
    <w:rsid w:val="0051331F"/>
    <w:rsid w:val="00513479"/>
    <w:rsid w:val="00513C78"/>
    <w:rsid w:val="00514569"/>
    <w:rsid w:val="005149A8"/>
    <w:rsid w:val="00514E53"/>
    <w:rsid w:val="005153E7"/>
    <w:rsid w:val="0051600F"/>
    <w:rsid w:val="0051694C"/>
    <w:rsid w:val="00516E6E"/>
    <w:rsid w:val="0051796F"/>
    <w:rsid w:val="00517A58"/>
    <w:rsid w:val="00517AEA"/>
    <w:rsid w:val="00520A67"/>
    <w:rsid w:val="00520C0C"/>
    <w:rsid w:val="00521668"/>
    <w:rsid w:val="0052240D"/>
    <w:rsid w:val="00523A01"/>
    <w:rsid w:val="00523F8F"/>
    <w:rsid w:val="005247ED"/>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FAD"/>
    <w:rsid w:val="00542862"/>
    <w:rsid w:val="00542CE1"/>
    <w:rsid w:val="00542DD4"/>
    <w:rsid w:val="0054309B"/>
    <w:rsid w:val="00543FF9"/>
    <w:rsid w:val="00546058"/>
    <w:rsid w:val="00546C24"/>
    <w:rsid w:val="00546F0A"/>
    <w:rsid w:val="005501AF"/>
    <w:rsid w:val="005520D1"/>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5DB8"/>
    <w:rsid w:val="005762FE"/>
    <w:rsid w:val="00576974"/>
    <w:rsid w:val="0057760D"/>
    <w:rsid w:val="005777CC"/>
    <w:rsid w:val="00577896"/>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C1F"/>
    <w:rsid w:val="005E5F16"/>
    <w:rsid w:val="005E611E"/>
    <w:rsid w:val="005E67BE"/>
    <w:rsid w:val="005E6EE5"/>
    <w:rsid w:val="005F060D"/>
    <w:rsid w:val="005F1AE0"/>
    <w:rsid w:val="005F1F12"/>
    <w:rsid w:val="005F2C09"/>
    <w:rsid w:val="005F32BB"/>
    <w:rsid w:val="005F396E"/>
    <w:rsid w:val="005F3EBF"/>
    <w:rsid w:val="005F41DB"/>
    <w:rsid w:val="005F44D1"/>
    <w:rsid w:val="005F4866"/>
    <w:rsid w:val="005F4A7D"/>
    <w:rsid w:val="005F595D"/>
    <w:rsid w:val="005F5C37"/>
    <w:rsid w:val="005F631C"/>
    <w:rsid w:val="005F6BB6"/>
    <w:rsid w:val="005F6E7D"/>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3794"/>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6BE0"/>
    <w:rsid w:val="006D7135"/>
    <w:rsid w:val="006E019A"/>
    <w:rsid w:val="006E09F3"/>
    <w:rsid w:val="006E2112"/>
    <w:rsid w:val="006E2FE3"/>
    <w:rsid w:val="006E36B1"/>
    <w:rsid w:val="006E469E"/>
    <w:rsid w:val="006E5A6F"/>
    <w:rsid w:val="006E68BC"/>
    <w:rsid w:val="006E7279"/>
    <w:rsid w:val="006E7E29"/>
    <w:rsid w:val="006F05E2"/>
    <w:rsid w:val="006F0851"/>
    <w:rsid w:val="006F1CAE"/>
    <w:rsid w:val="006F2C2D"/>
    <w:rsid w:val="006F3132"/>
    <w:rsid w:val="006F37B7"/>
    <w:rsid w:val="006F4B22"/>
    <w:rsid w:val="006F4BFB"/>
    <w:rsid w:val="006F710C"/>
    <w:rsid w:val="006F7BDF"/>
    <w:rsid w:val="006F7FD0"/>
    <w:rsid w:val="00700C2B"/>
    <w:rsid w:val="00701D20"/>
    <w:rsid w:val="007023E2"/>
    <w:rsid w:val="00703334"/>
    <w:rsid w:val="007035F6"/>
    <w:rsid w:val="00703FA5"/>
    <w:rsid w:val="00705328"/>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E1"/>
    <w:rsid w:val="00736793"/>
    <w:rsid w:val="00736803"/>
    <w:rsid w:val="00736E8D"/>
    <w:rsid w:val="00737177"/>
    <w:rsid w:val="00737940"/>
    <w:rsid w:val="00740F24"/>
    <w:rsid w:val="007418FC"/>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2C1F"/>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29B8"/>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21F"/>
    <w:rsid w:val="007C2C4D"/>
    <w:rsid w:val="007C2F47"/>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10B2"/>
    <w:rsid w:val="0085152C"/>
    <w:rsid w:val="00851815"/>
    <w:rsid w:val="00852BB0"/>
    <w:rsid w:val="0085362D"/>
    <w:rsid w:val="00853F0D"/>
    <w:rsid w:val="00854720"/>
    <w:rsid w:val="008555DE"/>
    <w:rsid w:val="00855EA8"/>
    <w:rsid w:val="00856921"/>
    <w:rsid w:val="00857023"/>
    <w:rsid w:val="00857692"/>
    <w:rsid w:val="00857770"/>
    <w:rsid w:val="0086068A"/>
    <w:rsid w:val="00860B45"/>
    <w:rsid w:val="00860C60"/>
    <w:rsid w:val="008613E5"/>
    <w:rsid w:val="00861EFA"/>
    <w:rsid w:val="0086304D"/>
    <w:rsid w:val="00863D38"/>
    <w:rsid w:val="008643C5"/>
    <w:rsid w:val="008646E1"/>
    <w:rsid w:val="00864700"/>
    <w:rsid w:val="0086481F"/>
    <w:rsid w:val="008654BD"/>
    <w:rsid w:val="00865CDF"/>
    <w:rsid w:val="0086625B"/>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D65"/>
    <w:rsid w:val="00886F6B"/>
    <w:rsid w:val="00887169"/>
    <w:rsid w:val="008872CC"/>
    <w:rsid w:val="00887D6F"/>
    <w:rsid w:val="00891F29"/>
    <w:rsid w:val="008934A8"/>
    <w:rsid w:val="008938DF"/>
    <w:rsid w:val="00893AEA"/>
    <w:rsid w:val="00894B8B"/>
    <w:rsid w:val="00895696"/>
    <w:rsid w:val="008963CC"/>
    <w:rsid w:val="0089690A"/>
    <w:rsid w:val="00896B6F"/>
    <w:rsid w:val="008A05B8"/>
    <w:rsid w:val="008A0724"/>
    <w:rsid w:val="008A13BF"/>
    <w:rsid w:val="008A1765"/>
    <w:rsid w:val="008A1F2D"/>
    <w:rsid w:val="008A20F2"/>
    <w:rsid w:val="008A4CF7"/>
    <w:rsid w:val="008A7A82"/>
    <w:rsid w:val="008A7A9C"/>
    <w:rsid w:val="008B0382"/>
    <w:rsid w:val="008B0C51"/>
    <w:rsid w:val="008B1494"/>
    <w:rsid w:val="008B3C22"/>
    <w:rsid w:val="008B4255"/>
    <w:rsid w:val="008B49E0"/>
    <w:rsid w:val="008B4A2A"/>
    <w:rsid w:val="008B6034"/>
    <w:rsid w:val="008B690E"/>
    <w:rsid w:val="008B73A5"/>
    <w:rsid w:val="008B7CBC"/>
    <w:rsid w:val="008B7E3A"/>
    <w:rsid w:val="008B7E7D"/>
    <w:rsid w:val="008C0284"/>
    <w:rsid w:val="008C1906"/>
    <w:rsid w:val="008C19D6"/>
    <w:rsid w:val="008C1BCC"/>
    <w:rsid w:val="008C1C6B"/>
    <w:rsid w:val="008C239B"/>
    <w:rsid w:val="008C2740"/>
    <w:rsid w:val="008C3DF9"/>
    <w:rsid w:val="008C5890"/>
    <w:rsid w:val="008C5DF3"/>
    <w:rsid w:val="008C75E3"/>
    <w:rsid w:val="008C7DE7"/>
    <w:rsid w:val="008D0E87"/>
    <w:rsid w:val="008D1598"/>
    <w:rsid w:val="008D2CF9"/>
    <w:rsid w:val="008D48DC"/>
    <w:rsid w:val="008D4A7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713"/>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4FA7"/>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E5B"/>
    <w:rsid w:val="00967240"/>
    <w:rsid w:val="009675C8"/>
    <w:rsid w:val="00970589"/>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9038F"/>
    <w:rsid w:val="0099090F"/>
    <w:rsid w:val="00991992"/>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96F"/>
    <w:rsid w:val="009C3D65"/>
    <w:rsid w:val="009C46B7"/>
    <w:rsid w:val="009C5466"/>
    <w:rsid w:val="009C709B"/>
    <w:rsid w:val="009C7983"/>
    <w:rsid w:val="009D02D6"/>
    <w:rsid w:val="009D05B1"/>
    <w:rsid w:val="009D1037"/>
    <w:rsid w:val="009D1E9C"/>
    <w:rsid w:val="009D2859"/>
    <w:rsid w:val="009D2E04"/>
    <w:rsid w:val="009D2EED"/>
    <w:rsid w:val="009D398B"/>
    <w:rsid w:val="009D5D3F"/>
    <w:rsid w:val="009D69B5"/>
    <w:rsid w:val="009E07E4"/>
    <w:rsid w:val="009E1648"/>
    <w:rsid w:val="009E2113"/>
    <w:rsid w:val="009E270D"/>
    <w:rsid w:val="009E2D9D"/>
    <w:rsid w:val="009E2F47"/>
    <w:rsid w:val="009E2F98"/>
    <w:rsid w:val="009E2FA4"/>
    <w:rsid w:val="009E38EC"/>
    <w:rsid w:val="009E39E6"/>
    <w:rsid w:val="009E3F67"/>
    <w:rsid w:val="009E4CA7"/>
    <w:rsid w:val="009E4CC4"/>
    <w:rsid w:val="009E5DD7"/>
    <w:rsid w:val="009E658C"/>
    <w:rsid w:val="009E678F"/>
    <w:rsid w:val="009E6E66"/>
    <w:rsid w:val="009E6F2B"/>
    <w:rsid w:val="009E70BC"/>
    <w:rsid w:val="009E7D84"/>
    <w:rsid w:val="009F0513"/>
    <w:rsid w:val="009F06E6"/>
    <w:rsid w:val="009F1DCD"/>
    <w:rsid w:val="009F21E6"/>
    <w:rsid w:val="009F2C42"/>
    <w:rsid w:val="009F3ABB"/>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349"/>
    <w:rsid w:val="00A21CD0"/>
    <w:rsid w:val="00A21DBD"/>
    <w:rsid w:val="00A22118"/>
    <w:rsid w:val="00A23D3D"/>
    <w:rsid w:val="00A247CB"/>
    <w:rsid w:val="00A24822"/>
    <w:rsid w:val="00A25E84"/>
    <w:rsid w:val="00A26D1D"/>
    <w:rsid w:val="00A2712C"/>
    <w:rsid w:val="00A2780A"/>
    <w:rsid w:val="00A27D98"/>
    <w:rsid w:val="00A30BCD"/>
    <w:rsid w:val="00A3209C"/>
    <w:rsid w:val="00A32566"/>
    <w:rsid w:val="00A3294B"/>
    <w:rsid w:val="00A33782"/>
    <w:rsid w:val="00A34717"/>
    <w:rsid w:val="00A35549"/>
    <w:rsid w:val="00A36CFE"/>
    <w:rsid w:val="00A371DD"/>
    <w:rsid w:val="00A37F05"/>
    <w:rsid w:val="00A4054C"/>
    <w:rsid w:val="00A41438"/>
    <w:rsid w:val="00A44EAE"/>
    <w:rsid w:val="00A4519A"/>
    <w:rsid w:val="00A479A5"/>
    <w:rsid w:val="00A47B03"/>
    <w:rsid w:val="00A50EDB"/>
    <w:rsid w:val="00A50F15"/>
    <w:rsid w:val="00A51347"/>
    <w:rsid w:val="00A542EF"/>
    <w:rsid w:val="00A54F1A"/>
    <w:rsid w:val="00A55012"/>
    <w:rsid w:val="00A569B4"/>
    <w:rsid w:val="00A56E16"/>
    <w:rsid w:val="00A570BE"/>
    <w:rsid w:val="00A5720C"/>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11A"/>
    <w:rsid w:val="00AA587C"/>
    <w:rsid w:val="00AA5987"/>
    <w:rsid w:val="00AA5F48"/>
    <w:rsid w:val="00AA5FB8"/>
    <w:rsid w:val="00AA7CDA"/>
    <w:rsid w:val="00AA7F81"/>
    <w:rsid w:val="00AB08B3"/>
    <w:rsid w:val="00AB1D52"/>
    <w:rsid w:val="00AB2210"/>
    <w:rsid w:val="00AB377E"/>
    <w:rsid w:val="00AB3AB1"/>
    <w:rsid w:val="00AB4E3E"/>
    <w:rsid w:val="00AB4E74"/>
    <w:rsid w:val="00AB5EA6"/>
    <w:rsid w:val="00AB69B6"/>
    <w:rsid w:val="00AB7C49"/>
    <w:rsid w:val="00AC138B"/>
    <w:rsid w:val="00AC1814"/>
    <w:rsid w:val="00AC3012"/>
    <w:rsid w:val="00AC3229"/>
    <w:rsid w:val="00AC32B3"/>
    <w:rsid w:val="00AC3475"/>
    <w:rsid w:val="00AC3A8B"/>
    <w:rsid w:val="00AC3F30"/>
    <w:rsid w:val="00AC4465"/>
    <w:rsid w:val="00AC4D01"/>
    <w:rsid w:val="00AC5258"/>
    <w:rsid w:val="00AC5E58"/>
    <w:rsid w:val="00AC5EB4"/>
    <w:rsid w:val="00AC6E34"/>
    <w:rsid w:val="00AC6EB6"/>
    <w:rsid w:val="00AC7DD6"/>
    <w:rsid w:val="00AD0640"/>
    <w:rsid w:val="00AD08EA"/>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2D74"/>
    <w:rsid w:val="00AE3B21"/>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112AA"/>
    <w:rsid w:val="00B11ADD"/>
    <w:rsid w:val="00B12278"/>
    <w:rsid w:val="00B130FA"/>
    <w:rsid w:val="00B13DD2"/>
    <w:rsid w:val="00B14A8C"/>
    <w:rsid w:val="00B171C1"/>
    <w:rsid w:val="00B17DD0"/>
    <w:rsid w:val="00B2017F"/>
    <w:rsid w:val="00B203AB"/>
    <w:rsid w:val="00B20CE7"/>
    <w:rsid w:val="00B22383"/>
    <w:rsid w:val="00B23227"/>
    <w:rsid w:val="00B238A8"/>
    <w:rsid w:val="00B241E9"/>
    <w:rsid w:val="00B24C17"/>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EA9"/>
    <w:rsid w:val="00B60279"/>
    <w:rsid w:val="00B60B7C"/>
    <w:rsid w:val="00B60F78"/>
    <w:rsid w:val="00B6181B"/>
    <w:rsid w:val="00B620EE"/>
    <w:rsid w:val="00B621E8"/>
    <w:rsid w:val="00B6358C"/>
    <w:rsid w:val="00B63BDD"/>
    <w:rsid w:val="00B645D1"/>
    <w:rsid w:val="00B650AA"/>
    <w:rsid w:val="00B65203"/>
    <w:rsid w:val="00B65D17"/>
    <w:rsid w:val="00B65EAE"/>
    <w:rsid w:val="00B711A3"/>
    <w:rsid w:val="00B71AB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4DFC"/>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C64"/>
    <w:rsid w:val="00C25D64"/>
    <w:rsid w:val="00C25E1E"/>
    <w:rsid w:val="00C2603A"/>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515C6"/>
    <w:rsid w:val="00C52524"/>
    <w:rsid w:val="00C53030"/>
    <w:rsid w:val="00C536F3"/>
    <w:rsid w:val="00C5432B"/>
    <w:rsid w:val="00C54618"/>
    <w:rsid w:val="00C54D2A"/>
    <w:rsid w:val="00C55B31"/>
    <w:rsid w:val="00C55DB0"/>
    <w:rsid w:val="00C560CE"/>
    <w:rsid w:val="00C577FF"/>
    <w:rsid w:val="00C57B81"/>
    <w:rsid w:val="00C65807"/>
    <w:rsid w:val="00C65C4F"/>
    <w:rsid w:val="00C665BE"/>
    <w:rsid w:val="00C70F15"/>
    <w:rsid w:val="00C71141"/>
    <w:rsid w:val="00C71444"/>
    <w:rsid w:val="00C716A3"/>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5563"/>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14D"/>
    <w:rsid w:val="00CF1DDB"/>
    <w:rsid w:val="00CF2D09"/>
    <w:rsid w:val="00CF34D0"/>
    <w:rsid w:val="00CF60D2"/>
    <w:rsid w:val="00CF6242"/>
    <w:rsid w:val="00CF66AF"/>
    <w:rsid w:val="00CF6C63"/>
    <w:rsid w:val="00CF76BD"/>
    <w:rsid w:val="00CF7719"/>
    <w:rsid w:val="00D0102F"/>
    <w:rsid w:val="00D01092"/>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5957"/>
    <w:rsid w:val="00D46DCA"/>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03EB3"/>
    <w:rsid w:val="00E104E2"/>
    <w:rsid w:val="00E106EA"/>
    <w:rsid w:val="00E11F43"/>
    <w:rsid w:val="00E134B4"/>
    <w:rsid w:val="00E13757"/>
    <w:rsid w:val="00E1546C"/>
    <w:rsid w:val="00E155C1"/>
    <w:rsid w:val="00E15617"/>
    <w:rsid w:val="00E157E3"/>
    <w:rsid w:val="00E167B4"/>
    <w:rsid w:val="00E16E91"/>
    <w:rsid w:val="00E1743B"/>
    <w:rsid w:val="00E17EE3"/>
    <w:rsid w:val="00E20702"/>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4BE5"/>
    <w:rsid w:val="00EA5187"/>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C0150"/>
    <w:rsid w:val="00EC048C"/>
    <w:rsid w:val="00EC0801"/>
    <w:rsid w:val="00EC0CBC"/>
    <w:rsid w:val="00EC132D"/>
    <w:rsid w:val="00EC1A55"/>
    <w:rsid w:val="00EC2834"/>
    <w:rsid w:val="00EC2AF3"/>
    <w:rsid w:val="00EC2F58"/>
    <w:rsid w:val="00EC3125"/>
    <w:rsid w:val="00EC448C"/>
    <w:rsid w:val="00EC5C7F"/>
    <w:rsid w:val="00EC645C"/>
    <w:rsid w:val="00ED0484"/>
    <w:rsid w:val="00ED1ACF"/>
    <w:rsid w:val="00ED2D82"/>
    <w:rsid w:val="00ED396A"/>
    <w:rsid w:val="00ED4A2C"/>
    <w:rsid w:val="00ED500A"/>
    <w:rsid w:val="00ED5D94"/>
    <w:rsid w:val="00ED5D97"/>
    <w:rsid w:val="00ED61AE"/>
    <w:rsid w:val="00ED79E3"/>
    <w:rsid w:val="00EE0604"/>
    <w:rsid w:val="00EE07C4"/>
    <w:rsid w:val="00EE0EE0"/>
    <w:rsid w:val="00EE411D"/>
    <w:rsid w:val="00EE4202"/>
    <w:rsid w:val="00EE44CE"/>
    <w:rsid w:val="00EE4715"/>
    <w:rsid w:val="00EE49A5"/>
    <w:rsid w:val="00EE5060"/>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199D"/>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5C15"/>
    <w:rsid w:val="00F673CD"/>
    <w:rsid w:val="00F674DF"/>
    <w:rsid w:val="00F677DB"/>
    <w:rsid w:val="00F67B2E"/>
    <w:rsid w:val="00F70068"/>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53C6"/>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image" Target="media/image13.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image" Target="media/image1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6446A54-BC1C-4286-B6A7-D929803EA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11</Pages>
  <Words>3218</Words>
  <Characters>17704</Characters>
  <Application>Microsoft Office Word</Application>
  <DocSecurity>0</DocSecurity>
  <Lines>147</Lines>
  <Paragraphs>41</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20881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14</cp:revision>
  <cp:lastPrinted>2016-08-10T06:06:00Z</cp:lastPrinted>
  <dcterms:created xsi:type="dcterms:W3CDTF">2017-04-21T15:36:00Z</dcterms:created>
  <dcterms:modified xsi:type="dcterms:W3CDTF">2017-05-04T16:36:00Z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